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2" w:rsidRPr="008D4EDE" w:rsidRDefault="00A10AC2" w:rsidP="00A10A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>Заседание Комиссии по</w:t>
      </w:r>
      <w:r w:rsidRPr="008D4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района»</w:t>
      </w:r>
    </w:p>
    <w:p w:rsidR="00A10AC2" w:rsidRPr="008D4EDE" w:rsidRDefault="00A10AC2" w:rsidP="00A10AC2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0AC2" w:rsidRPr="008D4EDE" w:rsidRDefault="00A10AC2" w:rsidP="00A10AC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D4E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22 июля 2016 года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Pr="008D4E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№5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2694"/>
        <w:gridCol w:w="4394"/>
      </w:tblGrid>
      <w:tr w:rsidR="00A10AC2" w:rsidRPr="008D4EDE" w:rsidTr="00FA78DE">
        <w:trPr>
          <w:trHeight w:val="680"/>
        </w:trPr>
        <w:tc>
          <w:tcPr>
            <w:tcW w:w="2943" w:type="dxa"/>
            <w:hideMark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  <w:hideMark/>
          </w:tcPr>
          <w:p w:rsidR="00A10AC2" w:rsidRPr="008D4EDE" w:rsidRDefault="00A10AC2" w:rsidP="00FA78D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A10AC2" w:rsidRPr="008D4EDE" w:rsidTr="00FA78DE">
        <w:trPr>
          <w:trHeight w:val="1044"/>
        </w:trPr>
        <w:tc>
          <w:tcPr>
            <w:tcW w:w="2943" w:type="dxa"/>
            <w:hideMark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Агапов Олег Дмитриевич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Общественного Совета Нижнекамского муниципального района РТ 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  <w:hideMark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Равгатовна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Лазарев Вячеслав Александрович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противодействию коррупции Совета Нижнекамского муниципального района РТ 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 </w:t>
            </w:r>
          </w:p>
        </w:tc>
        <w:tc>
          <w:tcPr>
            <w:tcW w:w="4394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A10AC2" w:rsidRPr="008D4EDE" w:rsidTr="00FA78DE">
        <w:trPr>
          <w:trHeight w:val="20"/>
        </w:trPr>
        <w:tc>
          <w:tcPr>
            <w:tcW w:w="2943" w:type="dxa"/>
            <w:hideMark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7088" w:type="dxa"/>
            <w:gridSpan w:val="2"/>
            <w:vMerge w:val="restart"/>
            <w:hideMark/>
          </w:tcPr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b/>
                <w:sz w:val="28"/>
                <w:szCs w:val="28"/>
              </w:rPr>
              <w:t>Хайриева</w:t>
            </w:r>
            <w:proofErr w:type="spellEnd"/>
            <w:r w:rsidRPr="008D4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Римма </w:t>
            </w:r>
            <w:proofErr w:type="spellStart"/>
            <w:r w:rsidRPr="008D4EDE">
              <w:rPr>
                <w:rFonts w:ascii="Times New Roman" w:hAnsi="Times New Roman" w:cs="Times New Roman"/>
                <w:b/>
                <w:sz w:val="28"/>
                <w:szCs w:val="28"/>
              </w:rPr>
              <w:t>Раисовна</w:t>
            </w:r>
            <w:proofErr w:type="spellEnd"/>
            <w:proofErr w:type="gramStart"/>
            <w:r w:rsidRPr="008D4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помощник Нижнекамского городского прокурора;</w:t>
            </w:r>
          </w:p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Голицына Юлия Николаевна 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организации деятельности Совета Нижнекамского 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, член комиссии для проведения  экзамена и аттестации муниципальных служащих Нижнекамского муниципального района Республики Татарстан</w:t>
            </w:r>
          </w:p>
          <w:p w:rsidR="00A10AC2" w:rsidRPr="008D4EDE" w:rsidRDefault="00A10AC2" w:rsidP="00FA78D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Нижнекамского муниципального района в 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входит представление сведений о доходах, об имуществе и обязательствах имущественного характера </w:t>
            </w:r>
          </w:p>
        </w:tc>
      </w:tr>
      <w:tr w:rsidR="00A10AC2" w:rsidRPr="008D4EDE" w:rsidTr="00FA78DE">
        <w:trPr>
          <w:trHeight w:val="316"/>
        </w:trPr>
        <w:tc>
          <w:tcPr>
            <w:tcW w:w="2943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vAlign w:val="center"/>
            <w:hideMark/>
          </w:tcPr>
          <w:p w:rsidR="00A10AC2" w:rsidRPr="008D4EDE" w:rsidRDefault="00A10AC2" w:rsidP="00FA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AC2" w:rsidRPr="008D4EDE" w:rsidRDefault="00A10AC2" w:rsidP="00A10AC2">
      <w:pPr>
        <w:shd w:val="clear" w:color="auto" w:fill="FFFFFF"/>
        <w:spacing w:before="264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7 человек. Число </w:t>
      </w: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2 человека.  Кворум для  проведения  заседания  комиссии  имеется.</w:t>
      </w:r>
    </w:p>
    <w:p w:rsidR="00A10AC2" w:rsidRPr="008D4EDE" w:rsidRDefault="00A10AC2" w:rsidP="00A10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D4EDE"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>Повестка дня:</w:t>
      </w:r>
    </w:p>
    <w:p w:rsidR="00A10AC2" w:rsidRPr="008D4EDE" w:rsidRDefault="00A10AC2" w:rsidP="00A10AC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D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</w:t>
      </w:r>
      <w:r w:rsidRPr="008D4ED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Рассмотрение в</w:t>
      </w: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опроса  о соблюдении требований к служебному поведению в части </w:t>
      </w:r>
      <w:r w:rsidRPr="008D4EDE">
        <w:rPr>
          <w:rFonts w:ascii="Times New Roman" w:hAnsi="Times New Roman" w:cs="Times New Roman"/>
          <w:b/>
          <w:sz w:val="28"/>
          <w:szCs w:val="28"/>
        </w:rPr>
        <w:t xml:space="preserve">представления сведений о доходах, расходах об имуществе и обязательствах имущественного характера. </w:t>
      </w:r>
    </w:p>
    <w:p w:rsidR="00A10AC2" w:rsidRPr="008D4EDE" w:rsidRDefault="00A10AC2" w:rsidP="00A10AC2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EDE">
        <w:rPr>
          <w:rFonts w:ascii="Times New Roman" w:hAnsi="Times New Roman" w:cs="Times New Roman"/>
          <w:b/>
          <w:sz w:val="28"/>
          <w:szCs w:val="28"/>
        </w:rPr>
        <w:t xml:space="preserve">Выступал: Умников А.В.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адрес Главы Нижнекамского муниципального района, в адрес исполняющего обязанности руководителя Исполнительного комитета Нижнекамского муниципального района, в адрес руководителей  исполнительных комитетов муниципальных образований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Каенлинского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Кармалинского сельского поселения,  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Краснокадкинского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Простинского сельского поселения, Сухаревского сельского поселения, Шереметьевского сельского поселения, Руководителя исполнительного комитета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. Камские Поляны  поступили представления прокурора города о выявлении нарушений требований закона о противодействии коррупции, законодательства о муниципальной службе.  Представления вынесены в отношении 24 муниципальных служащих. Сегодня на  комиссии присутствует 19 муниципальных служащих, пять муниципальных служащих </w:t>
      </w:r>
      <w:r w:rsidR="004A54BE">
        <w:rPr>
          <w:rFonts w:ascii="Times New Roman" w:hAnsi="Times New Roman" w:cs="Times New Roman"/>
          <w:color w:val="000000"/>
          <w:sz w:val="28"/>
          <w:szCs w:val="28"/>
        </w:rPr>
        <w:t xml:space="preserve">(фамилии муниципальных служащих)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предоставила заявления о рассмотрении без их участия.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EDE">
        <w:rPr>
          <w:rFonts w:ascii="Times New Roman" w:hAnsi="Times New Roman" w:cs="Times New Roman"/>
          <w:sz w:val="28"/>
          <w:szCs w:val="28"/>
        </w:rPr>
        <w:t>Согласно Федеральному закону «О  контроле за соответствием расходов лиц,  замещающих государственные должности и иных лиц их доходах» лица, замещающие должности муниципальной службы, муниципальные служащие,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8D4EDE"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полные и достоверные, однако на сегодняшний день имеется факты недобросовестного  исполнения должностных обязанностей в части предоставления сведений</w:t>
      </w:r>
      <w:r w:rsidRPr="008D4EDE">
        <w:rPr>
          <w:rFonts w:ascii="Times New Roman" w:hAnsi="Times New Roman" w:cs="Times New Roman"/>
          <w:b/>
          <w:sz w:val="28"/>
          <w:szCs w:val="28"/>
        </w:rPr>
        <w:t>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факту поступивших представлений проведены служебные проверки, получены  объяснительные записки.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Предлагаю заслушать  муниципальных служащих: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proofErr w:type="gramStart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</w:t>
      </w:r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.И.О.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  в разделе «Сведения о доходах» не указан доход от продажи автомобиля ВАЗ 21093 на сумму 30 000 рублей. В представлении прокурора указано, что не указан в справке счет, открытый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 в</w:t>
      </w: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 справку , о том, что счетов на мое имя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» отсутствуют. В справке  о доходах, расходах, об имуществе и обязательствах имущественного характера, представленной на супругу, не был указан доход от продажи автомобиля на сумму 300 000 рублей.   </w:t>
      </w:r>
    </w:p>
    <w:p w:rsidR="004A54B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proofErr w:type="gramStart"/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:Ф</w:t>
      </w:r>
      <w:proofErr w:type="gramEnd"/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.И.О</w:t>
      </w:r>
      <w:proofErr w:type="spellEnd"/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 счет в АБ «Девон-кредит», счет открыт в 2008году, с 2009 года не пользуюсь, остаток нулевой.  В разделе 6.2 «Срочные обязательства финансового характера» недостоверно указана сумма обязательства</w:t>
      </w: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по  технической ошибке.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Слушали:</w:t>
      </w:r>
      <w:r w:rsidRPr="008D4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  в разделе «Недвижимое имущество» не указан земельный участок,  принадлежащий мне на праве собственности.</w:t>
      </w:r>
      <w:r w:rsidRPr="008D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  в разделе «Сведения о доходах» не указан доход от продажи автомобиля Ни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Альмера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175 000 рублей. В справке, предоставленной на супруга,  не указан счет в банке «Девон-Кредит»</w:t>
      </w: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>Данным счетом супруг не пользуется более трех лет, остаток нулевой.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 счета в ПАО «Сбербанк» России,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» все счета имеют нулевой остаток, данными счетами не пользуюсь продолжительное время.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Ф.ИО.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счетам  в АБ «Девон – кредит». Счет, открытый в 2008 году имеет остаток нол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, по счету, открытому  в 2011 году пояснить ничего не могу, так  в АБ «Девон – кредит» выдали справку об отсутствии счета.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Выступила </w:t>
      </w:r>
      <w:proofErr w:type="spellStart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Хайриева</w:t>
      </w:r>
      <w:proofErr w:type="spellEnd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Р.Р.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и пояснила, счет открыт супругом </w:t>
      </w:r>
      <w:r w:rsidR="004A54BE"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 в г. Казань в 2011 году, имеет остаток 10 рублей.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счетам  в ПАО «Ак Барс банк». При составлении справки о доходах, расходах, об имуществе и обязательствах имущественного характера  банк информацию по данному счет мне не предоставили. Сейчас мне предоставили информацию, что данный счет открыт в городе Елабуга в 1999 году, счетом не пользуюсь продолжительное время.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счетам  в ПАО «Сбербанк России», счета имеют нулевой остаток,  так же не был указан доход, полученный от НФ АО СК «Чулпан».</w:t>
      </w:r>
      <w:proofErr w:type="gramEnd"/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Слушал: </w:t>
      </w:r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счетам  в АБ «Девон – кредит», не указан доход, полученный от ООО «НТЦ Кама».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color w:val="000000"/>
          <w:sz w:val="28"/>
          <w:szCs w:val="28"/>
        </w:rPr>
        <w:t>Ф.И.О.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счетам 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», счета нулевые, открывались для получения кредитов, продолжительное время не пользуюсь.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счетам  в ПАО «Сбербанк России», счета имеют нулевой остаток.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Pr="008D4EDE">
        <w:rPr>
          <w:rFonts w:ascii="Times New Roman" w:hAnsi="Times New Roman" w:cs="Times New Roman"/>
          <w:i/>
          <w:sz w:val="28"/>
          <w:szCs w:val="28"/>
        </w:rPr>
        <w:t>Ф</w:t>
      </w:r>
      <w:r w:rsidR="004A54BE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="004A54BE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4A54BE">
        <w:rPr>
          <w:rFonts w:ascii="Times New Roman" w:hAnsi="Times New Roman" w:cs="Times New Roman"/>
          <w:i/>
          <w:sz w:val="28"/>
          <w:szCs w:val="28"/>
        </w:rPr>
        <w:t>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счетам  в ПАО «Сбербанк», не указан доход,  полученный с ПАО «Сбербанк».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счетам  в АБ «Де</w:t>
      </w:r>
      <w:r>
        <w:rPr>
          <w:rFonts w:ascii="Times New Roman" w:hAnsi="Times New Roman" w:cs="Times New Roman"/>
          <w:color w:val="000000"/>
          <w:sz w:val="28"/>
          <w:szCs w:val="28"/>
        </w:rPr>
        <w:t>вон – кредит», не указаны доходы,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в 2015 году от ООО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Бахетле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Агро», ООО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Жилстрой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sz w:val="28"/>
          <w:szCs w:val="28"/>
        </w:rPr>
        <w:t>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счетам 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», в ПАО «Сбербанк России» 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 нулевой остаток, продолжительное время н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е пользуюсь. Счет в ПАО «Сбербанк» не указан ошибочно, закрыт в марте 2016 года.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себя,  в разделе «Сведения о доходах» не  указаны выплаты по больничному листу на сумму 1176 рублей 66 копеек, не достоверно указана сумма доходов в виде причисленных процентов на сумму  8 447 рублей 83 копеек, общая величина ошибочно не указанных  в справке  доходов 9 624 рубля  49 копеек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>. Также в разделе  «Сведения о счетах в банках и иных кредитных организациях» не  указаны сведения по  счетам  в ПАО «Сбербанк»,  закрытым по состоянию на 31.12.2015 года.</w:t>
      </w:r>
    </w:p>
    <w:p w:rsidR="00A10AC2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справке  о доходах, расходах, об имуществе и обязательствах имущественного характера, представленной на себя,  «Сведения о счетах в банках и иных кредитных организациях» не  указаны сведения по  счетам  в ПАО «Сбербанк», 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 счета открыты в 2012, 2013 годах имеют нулевой остаток.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счету  в ПАО «Ак Барс банк», не указаны сведения о земельном участке кадастровой стоимостью 107 834 рублей 74 копейки.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супругу,  в разделе «Сведения о счетах в банках и иных кредитных организациях» не  указаны сведения по  счету  в ПАО «Сбербанк России».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себя,  в разделе «Сведения о счетах в банках и иных кредитных организациях» не  указаны сведения по  счету  в ПАО «Ак Барс банк.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супруга,  в разделе «Сведения о доходах»  не указаны выплаты по больничному листу на сумму  1372 рублей 77 копеек.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сына,  в разделе «Сведения о доходах»  не указаны суммы компенсационных выплат на сумму 6 000 рублей.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себя,  в разделе «Сведения о доходах»  не указаны доход, полученный в МБОУ «СОШ №16 с углубленным изучением отдельных предметов» в размере 11 500 рублей.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счету  в ПАО «Сбербанк России», в разделе транспортные средства не указанно транспортное средство марки ВАЗ 21154  стоимостью 245 000 рубле. 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сына,  в разделе  «Сведения о счетах в банках и иных кредитных организациях»   не указаны счет в банке.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  <w:r w:rsidRPr="008D4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супруга,  в разделе «Сведения о доходах»  не указаны доход, полученный от продажи трех автомобилей на общую сумму 125 000 рублей, сумма пенсии по потери кормильца в размере 5930 рублей,  в разделе «Недвижимое имущество» не указан доля жилого дома в с. Нижняя 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Уратьма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, а также доля в праве</w:t>
      </w:r>
      <w:proofErr w:type="gram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общей долевой собственности на земельный участок (кадастровая стоимость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доли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5 190 рублей 40 копеек).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r w:rsidR="004A54BE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 о доходах, расходах, об имуществе и обязательствах имущественного характера, представленной на себя,  в разделе «Сведения о доходах»  не указаны доход, полученный от продажи автомобиля  ГАЗ 30232 на сумму 190 000 рублей.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счету 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справке  о доходах, расходах, об имуществе и обязательствах имущественного характера, представленной на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супругу и детей не указана квартира, расположенная в г. Серафимович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как квартира,  находящаяся в пользовании.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служащие: </w:t>
      </w:r>
      <w:r w:rsidR="004A54BE" w:rsidRPr="00420F2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муниципальных служащих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предоставили заявления о рассмотрении без их участия.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Слушали: </w:t>
      </w:r>
      <w:proofErr w:type="spellStart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Умникова</w:t>
      </w:r>
      <w:proofErr w:type="spellEnd"/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А.В.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A54BE" w:rsidRPr="00F430A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не указала в справке, представленной на себя, на супруга, доход, полученный в ООО «СМИТ», также не указан счета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 как у себя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так и у супруга. Данные факты являются нарушением. </w:t>
      </w:r>
    </w:p>
    <w:p w:rsidR="00A10AC2" w:rsidRPr="008D4EDE" w:rsidRDefault="004A54BE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A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не указала в справке, представленной на  супруга, доход, полученный от продажи земельного 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участка, также не указаны счета в ПАО «</w:t>
      </w:r>
      <w:proofErr w:type="spellStart"/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». Данные факты являются нарушением. </w:t>
      </w:r>
    </w:p>
    <w:p w:rsidR="00A10AC2" w:rsidRPr="008D4EDE" w:rsidRDefault="004A54BE" w:rsidP="004A54B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A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>не указала в справке, представленной на  себя не указана квартира, находящаяся в пользовании,  однако в сведениях о доходах в ЕИКС данный объект в пользовании указан,  в справке, представленной на  супруга, доход, полученный от Фи</w:t>
      </w:r>
      <w:r w:rsidR="00A10AC2">
        <w:rPr>
          <w:rFonts w:ascii="Times New Roman" w:hAnsi="Times New Roman" w:cs="Times New Roman"/>
          <w:color w:val="000000"/>
          <w:sz w:val="28"/>
          <w:szCs w:val="28"/>
        </w:rPr>
        <w:t>лиала №11 ГУ РО ФСС РФ по РТ на сумму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AC2" w:rsidRPr="00F1620E">
        <w:rPr>
          <w:rFonts w:ascii="Times New Roman" w:hAnsi="Times New Roman" w:cs="Times New Roman"/>
          <w:color w:val="000000"/>
          <w:sz w:val="28"/>
          <w:szCs w:val="28"/>
        </w:rPr>
        <w:t xml:space="preserve">1568 </w:t>
      </w:r>
      <w:r w:rsidR="00A10AC2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A10AC2" w:rsidRPr="00F1620E">
        <w:rPr>
          <w:rFonts w:ascii="Times New Roman" w:hAnsi="Times New Roman" w:cs="Times New Roman"/>
          <w:color w:val="000000"/>
          <w:sz w:val="28"/>
          <w:szCs w:val="28"/>
        </w:rPr>
        <w:t xml:space="preserve"> 88 </w:t>
      </w:r>
      <w:r w:rsidR="00A10AC2">
        <w:rPr>
          <w:rFonts w:ascii="Times New Roman" w:hAnsi="Times New Roman" w:cs="Times New Roman"/>
          <w:color w:val="000000"/>
          <w:sz w:val="28"/>
          <w:szCs w:val="28"/>
        </w:rPr>
        <w:t>копеек</w:t>
      </w:r>
      <w:proofErr w:type="gramStart"/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0AC2" w:rsidRPr="008D4EDE" w:rsidRDefault="004A54BE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30A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>в справке, представленной на себя   в разделе «Сведения о счетах в банках и иных кредитных организациях» не  указаны сведения по  счету  в ПАО «Сбербанк» данный счет был открыт для приобретения квартиры, остаток  на 31 декабря 2015 года 13 рублей 70 копеек, в ПАО «АК Барс банк» не указаны два счета, движения по счетам имелось.</w:t>
      </w:r>
      <w:proofErr w:type="gramEnd"/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  Данные факты являются нарушением.</w:t>
      </w:r>
    </w:p>
    <w:p w:rsidR="00A10AC2" w:rsidRPr="008D4EDE" w:rsidRDefault="004A54BE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AA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>в справке, представленной на себя</w:t>
      </w:r>
      <w:r w:rsidR="00A10A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0AC2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в разделе «Сведения о доходах» не указан доход, полученный от Камского отделения – филиал ОПО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Татэнергосбыт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 на сумму 11 000 рублей, в разделе «Сведения о счетах в банках и иных кредитных организациях» не  указаны сведения по  счету  в ПАО «</w:t>
      </w:r>
      <w:proofErr w:type="spellStart"/>
      <w:r w:rsidRPr="008D4EDE">
        <w:rPr>
          <w:rFonts w:ascii="Times New Roman" w:hAnsi="Times New Roman" w:cs="Times New Roman"/>
          <w:color w:val="000000"/>
          <w:sz w:val="28"/>
          <w:szCs w:val="28"/>
        </w:rPr>
        <w:t>Татфондбанк</w:t>
      </w:r>
      <w:proofErr w:type="spellEnd"/>
      <w:r w:rsidRPr="008D4EDE">
        <w:rPr>
          <w:rFonts w:ascii="Times New Roman" w:hAnsi="Times New Roman" w:cs="Times New Roman"/>
          <w:color w:val="000000"/>
          <w:sz w:val="28"/>
          <w:szCs w:val="28"/>
        </w:rPr>
        <w:t>», ПАО «Сбербанк».  В справке  о доходах, расходах, об имуществе и обязательствах имущественного характера, представленной на супруга,  в разделе «Сведения о счетах в банках и иных кредитных организациях» не  указаны сведения по  счету  в ПАО «Сбербанк».  Данные факты являются нарушением.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2. Уважаемые коллеги!  По итогам служебных проверок выявляется, что ошибки служащими допускаются в большей части ввиду безответственного отношения к обязанностям по представлению сведений.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sz w:val="28"/>
          <w:szCs w:val="28"/>
        </w:rPr>
        <w:t xml:space="preserve">В связи с этим установить, что сведения о доходах, имуществе и обязательствах имущественного характера </w:t>
      </w:r>
      <w:r w:rsidR="00B25C7B" w:rsidRPr="00B25C7B">
        <w:rPr>
          <w:rFonts w:ascii="Times New Roman" w:hAnsi="Times New Roman" w:cs="Times New Roman"/>
          <w:i/>
          <w:sz w:val="28"/>
          <w:szCs w:val="28"/>
        </w:rPr>
        <w:t>Ф.И.О. муниципальных служащих</w:t>
      </w:r>
      <w:r w:rsidR="00B25C7B">
        <w:rPr>
          <w:rFonts w:ascii="Times New Roman" w:hAnsi="Times New Roman" w:cs="Times New Roman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sz w:val="28"/>
          <w:szCs w:val="28"/>
        </w:rPr>
        <w:t xml:space="preserve">представили  недостоверные,  с ошибками. 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sz w:val="28"/>
          <w:szCs w:val="28"/>
        </w:rPr>
        <w:t>Рекомендовать муниципальным служащим у которых в сведениях о доходах, имуществе и обязательствах имущественного характера некорректно были указаны счета, закрыть те счета которыми не пользуются продолжительное время, для того чтобы избежать ошибок в будущем при составлении сведениях о доходах, имуществе и обязательствах имущественного характера</w:t>
      </w:r>
    </w:p>
    <w:p w:rsidR="00A10AC2" w:rsidRPr="008D4EDE" w:rsidRDefault="00A10AC2" w:rsidP="00A10AC2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</w:pPr>
      <w:r w:rsidRPr="008D4EDE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  <w:t xml:space="preserve">Решили: </w:t>
      </w:r>
    </w:p>
    <w:p w:rsidR="00A10AC2" w:rsidRPr="008D4EDE" w:rsidRDefault="00A10AC2" w:rsidP="00A10AC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4EDE">
        <w:rPr>
          <w:rFonts w:ascii="Times New Roman" w:hAnsi="Times New Roman" w:cs="Times New Roman"/>
          <w:sz w:val="28"/>
          <w:szCs w:val="28"/>
        </w:rPr>
        <w:t xml:space="preserve">Признать нарушения совершенные </w:t>
      </w:r>
      <w:r w:rsidR="00B25C7B" w:rsidRPr="00B25C7B">
        <w:rPr>
          <w:rFonts w:ascii="Times New Roman" w:hAnsi="Times New Roman" w:cs="Times New Roman"/>
          <w:i/>
          <w:sz w:val="28"/>
          <w:szCs w:val="28"/>
        </w:rPr>
        <w:t>Ф.И.О. муниципальных служащих</w:t>
      </w:r>
      <w:r w:rsidR="00B25C7B">
        <w:rPr>
          <w:rFonts w:ascii="Times New Roman" w:hAnsi="Times New Roman" w:cs="Times New Roman"/>
          <w:sz w:val="28"/>
          <w:szCs w:val="28"/>
        </w:rPr>
        <w:t xml:space="preserve"> </w:t>
      </w:r>
      <w:r w:rsidR="00B25C7B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sz w:val="28"/>
          <w:szCs w:val="28"/>
        </w:rPr>
        <w:t>значительными и р</w:t>
      </w:r>
      <w:r w:rsidRPr="008D4EDE">
        <w:rPr>
          <w:rFonts w:ascii="Times New Roman" w:hAnsi="Times New Roman" w:cs="Times New Roman"/>
          <w:spacing w:val="-1"/>
          <w:sz w:val="28"/>
          <w:szCs w:val="28"/>
        </w:rPr>
        <w:t>екомендовать руководителям органов местного самоуправления вынести данным муниципальным служащим дисциплинарное взыскание в виде выговора.</w:t>
      </w:r>
    </w:p>
    <w:p w:rsidR="00A10AC2" w:rsidRPr="008D4EDE" w:rsidRDefault="00A10AC2" w:rsidP="00A10AC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4EDE">
        <w:rPr>
          <w:rFonts w:ascii="Times New Roman" w:hAnsi="Times New Roman" w:cs="Times New Roman"/>
          <w:sz w:val="28"/>
          <w:szCs w:val="28"/>
        </w:rPr>
        <w:t xml:space="preserve">  Признать нарушения, совершенные  </w:t>
      </w:r>
      <w:r w:rsidR="00B25C7B" w:rsidRPr="00B25C7B">
        <w:rPr>
          <w:rFonts w:ascii="Times New Roman" w:hAnsi="Times New Roman" w:cs="Times New Roman"/>
          <w:i/>
          <w:sz w:val="28"/>
          <w:szCs w:val="28"/>
        </w:rPr>
        <w:t>Ф.И.О. муниципальных служащих</w:t>
      </w:r>
      <w:r w:rsidR="00B25C7B">
        <w:rPr>
          <w:rFonts w:ascii="Times New Roman" w:hAnsi="Times New Roman" w:cs="Times New Roman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 незначительными </w:t>
      </w:r>
      <w:r w:rsidRPr="008D4EDE">
        <w:rPr>
          <w:rFonts w:ascii="Times New Roman" w:hAnsi="Times New Roman" w:cs="Times New Roman"/>
          <w:sz w:val="28"/>
          <w:szCs w:val="28"/>
        </w:rPr>
        <w:t>р</w:t>
      </w:r>
      <w:r w:rsidRPr="008D4EDE">
        <w:rPr>
          <w:rFonts w:ascii="Times New Roman" w:hAnsi="Times New Roman" w:cs="Times New Roman"/>
          <w:spacing w:val="-1"/>
          <w:sz w:val="28"/>
          <w:szCs w:val="28"/>
        </w:rPr>
        <w:t>екомендовать руководителям органов местного самоуправления вынести данным муниципальным служащим дисциплинарное взыскание в виде замечания.</w:t>
      </w:r>
    </w:p>
    <w:p w:rsidR="00A10AC2" w:rsidRPr="008D4EDE" w:rsidRDefault="00A10AC2" w:rsidP="00A10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spacing w:val="-1"/>
          <w:sz w:val="28"/>
          <w:szCs w:val="28"/>
        </w:rPr>
        <w:t>Признать нарушения, совершенные</w:t>
      </w:r>
      <w:r w:rsidR="00F430AA" w:rsidRPr="00F430AA">
        <w:rPr>
          <w:rFonts w:ascii="Times New Roman" w:hAnsi="Times New Roman" w:cs="Times New Roman"/>
          <w:sz w:val="28"/>
          <w:szCs w:val="28"/>
        </w:rPr>
        <w:t xml:space="preserve"> </w:t>
      </w:r>
      <w:r w:rsidR="00F430AA" w:rsidRPr="00F430AA">
        <w:rPr>
          <w:rFonts w:ascii="Times New Roman" w:hAnsi="Times New Roman" w:cs="Times New Roman"/>
          <w:i/>
          <w:sz w:val="28"/>
          <w:szCs w:val="28"/>
        </w:rPr>
        <w:t>Ф.И.О. муниципальных служащих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,  несущественными, указать данным муниципальным служащим о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недопустимости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совершения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 данных нарушений при составлении </w:t>
      </w:r>
      <w:r w:rsidRPr="008D4EDE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характера.</w:t>
      </w:r>
    </w:p>
    <w:p w:rsidR="00A10AC2" w:rsidRPr="008D4EDE" w:rsidRDefault="00A10AC2" w:rsidP="00A10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spacing w:val="-1"/>
          <w:sz w:val="28"/>
          <w:szCs w:val="28"/>
        </w:rPr>
        <w:t xml:space="preserve">Так как муниципальные служащие </w:t>
      </w:r>
      <w:r w:rsidR="00F430AA" w:rsidRPr="00F430AA">
        <w:rPr>
          <w:rFonts w:ascii="Times New Roman" w:hAnsi="Times New Roman" w:cs="Times New Roman"/>
          <w:i/>
          <w:sz w:val="28"/>
          <w:szCs w:val="28"/>
        </w:rPr>
        <w:t>Ф.И.О. муниципальных служащих</w:t>
      </w:r>
      <w:r w:rsidR="00F430AA">
        <w:rPr>
          <w:rFonts w:ascii="Times New Roman" w:hAnsi="Times New Roman" w:cs="Times New Roman"/>
          <w:sz w:val="28"/>
          <w:szCs w:val="28"/>
        </w:rPr>
        <w:t xml:space="preserve"> </w:t>
      </w:r>
      <w:r w:rsidR="00F430AA"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spacing w:val="-1"/>
          <w:sz w:val="28"/>
          <w:szCs w:val="28"/>
        </w:rPr>
        <w:t>находятся в отпуске по уходу за ребенком до достижения 1,5 лет, привлечь их к дисциплинарной ответственности не представляется возможным. Объяснительные записки по факту нарушений при 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D4EDE">
        <w:rPr>
          <w:rFonts w:ascii="Times New Roman" w:hAnsi="Times New Roman" w:cs="Times New Roman"/>
          <w:spacing w:val="-1"/>
          <w:sz w:val="28"/>
          <w:szCs w:val="28"/>
        </w:rPr>
        <w:t xml:space="preserve">дставлении сведений о доходах, об имуществе и обязательствах имущественного характера </w:t>
      </w:r>
      <w:proofErr w:type="spellStart"/>
      <w:r w:rsidRPr="008D4EDE">
        <w:rPr>
          <w:rFonts w:ascii="Times New Roman" w:hAnsi="Times New Roman" w:cs="Times New Roman"/>
          <w:spacing w:val="-1"/>
          <w:sz w:val="28"/>
          <w:szCs w:val="28"/>
        </w:rPr>
        <w:t>Маргановой</w:t>
      </w:r>
      <w:proofErr w:type="spellEnd"/>
      <w:r w:rsidRPr="008D4EDE">
        <w:rPr>
          <w:rFonts w:ascii="Times New Roman" w:hAnsi="Times New Roman" w:cs="Times New Roman"/>
          <w:spacing w:val="-1"/>
          <w:sz w:val="28"/>
          <w:szCs w:val="28"/>
        </w:rPr>
        <w:t xml:space="preserve"> О.М., Плотниковой О.И. предоставлены. </w:t>
      </w:r>
    </w:p>
    <w:p w:rsidR="00A10AC2" w:rsidRPr="008D4EDE" w:rsidRDefault="00A10AC2" w:rsidP="00A10AC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</w:pPr>
      <w:r w:rsidRPr="008D4EDE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Голосуем! </w:t>
      </w:r>
    </w:p>
    <w:p w:rsidR="00A10AC2" w:rsidRPr="008D4EDE" w:rsidRDefault="00A10AC2" w:rsidP="00A10AC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8D4EDE">
        <w:rPr>
          <w:rFonts w:ascii="Times New Roman" w:hAnsi="Times New Roman" w:cs="Times New Roman"/>
          <w:b/>
          <w:iCs/>
          <w:spacing w:val="-5"/>
          <w:sz w:val="28"/>
          <w:szCs w:val="28"/>
        </w:rPr>
        <w:t>Кто «ЗА»?  Прошу проголосовать!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D4EDE"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D4EDE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D4EDE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A10AC2" w:rsidRPr="008D4EDE" w:rsidRDefault="00A10AC2" w:rsidP="00A10A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EDE">
        <w:rPr>
          <w:rFonts w:ascii="Times New Roman" w:hAnsi="Times New Roman" w:cs="Times New Roman"/>
          <w:sz w:val="28"/>
          <w:szCs w:val="28"/>
        </w:rPr>
        <w:t>Направить копию протокола заседания комиссии И.о. Руководител</w:t>
      </w:r>
      <w:r w:rsidR="00F430AA">
        <w:rPr>
          <w:rFonts w:ascii="Times New Roman" w:hAnsi="Times New Roman" w:cs="Times New Roman"/>
          <w:sz w:val="28"/>
          <w:szCs w:val="28"/>
        </w:rPr>
        <w:t>я</w:t>
      </w:r>
      <w:r w:rsidRPr="008D4EDE"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 Юнусову Л.Р.,  и руководителям исполнительных комитетов муниципальных образований сельских поселений, руководителю исполнительного комитета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E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4EDE">
        <w:rPr>
          <w:rFonts w:ascii="Times New Roman" w:hAnsi="Times New Roman" w:cs="Times New Roman"/>
          <w:sz w:val="28"/>
          <w:szCs w:val="28"/>
        </w:rPr>
        <w:t xml:space="preserve">Камские Поляны» </w:t>
      </w:r>
      <w:proofErr w:type="spellStart"/>
      <w:r w:rsidRPr="008D4EDE">
        <w:rPr>
          <w:rFonts w:ascii="Times New Roman" w:hAnsi="Times New Roman" w:cs="Times New Roman"/>
          <w:sz w:val="28"/>
          <w:szCs w:val="28"/>
        </w:rPr>
        <w:t>Салахутдинову</w:t>
      </w:r>
      <w:proofErr w:type="spellEnd"/>
      <w:r w:rsidRPr="008D4EDE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A10AC2" w:rsidRPr="008D4EDE" w:rsidRDefault="00A10AC2" w:rsidP="00A10AC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A10AC2" w:rsidRPr="008D4EDE" w:rsidTr="00FA78DE">
        <w:trPr>
          <w:trHeight w:val="680"/>
        </w:trPr>
        <w:tc>
          <w:tcPr>
            <w:tcW w:w="7338" w:type="dxa"/>
          </w:tcPr>
          <w:p w:rsidR="00A10AC2" w:rsidRPr="008D4EDE" w:rsidRDefault="00A10AC2" w:rsidP="00FA78D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8D4ED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A10AC2" w:rsidRPr="008D4EDE" w:rsidTr="00FA78DE">
        <w:trPr>
          <w:trHeight w:val="353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EDE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AC2" w:rsidRPr="008D4EDE" w:rsidTr="00FA78DE">
        <w:trPr>
          <w:trHeight w:val="433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A10AC2" w:rsidRPr="008D4EDE" w:rsidTr="00FA78DE">
        <w:trPr>
          <w:trHeight w:val="20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Лазарев В.А.</w:t>
            </w:r>
          </w:p>
        </w:tc>
      </w:tr>
      <w:tr w:rsidR="00A10AC2" w:rsidRPr="008D4EDE" w:rsidTr="00FA78DE">
        <w:trPr>
          <w:trHeight w:val="20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A10AC2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AC2" w:rsidRPr="008D4EDE" w:rsidTr="00FA78DE">
        <w:trPr>
          <w:trHeight w:val="20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D4EDE">
              <w:rPr>
                <w:rFonts w:ascii="Times New Roman" w:hAnsi="Times New Roman" w:cs="Times New Roman"/>
                <w:sz w:val="27"/>
                <w:szCs w:val="27"/>
              </w:rPr>
              <w:t xml:space="preserve">  Н.С. </w:t>
            </w: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AC2" w:rsidRPr="008D4EDE" w:rsidTr="00FA78DE">
        <w:trPr>
          <w:trHeight w:val="20"/>
        </w:trPr>
        <w:tc>
          <w:tcPr>
            <w:tcW w:w="7338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EDE">
              <w:rPr>
                <w:rFonts w:ascii="Times New Roman" w:hAnsi="Times New Roman" w:cs="Times New Roman"/>
                <w:sz w:val="27"/>
                <w:szCs w:val="27"/>
              </w:rPr>
              <w:t>Агапов О.Д.</w:t>
            </w:r>
          </w:p>
          <w:p w:rsidR="00A10AC2" w:rsidRPr="008D4EDE" w:rsidRDefault="00A10AC2" w:rsidP="00FA78D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10AC2" w:rsidRPr="008D4EDE" w:rsidRDefault="00A10AC2" w:rsidP="00A10AC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6"/>
          <w:sz w:val="27"/>
          <w:szCs w:val="27"/>
        </w:rPr>
      </w:pPr>
    </w:p>
    <w:p w:rsidR="0020057E" w:rsidRDefault="0020057E"/>
    <w:sectPr w:rsidR="0020057E" w:rsidSect="00EE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2"/>
    <w:rsid w:val="0020057E"/>
    <w:rsid w:val="00420F2A"/>
    <w:rsid w:val="004A54BE"/>
    <w:rsid w:val="00793D77"/>
    <w:rsid w:val="00800407"/>
    <w:rsid w:val="009742DE"/>
    <w:rsid w:val="00A10AC2"/>
    <w:rsid w:val="00B25C7B"/>
    <w:rsid w:val="00F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2016-08-19T11:37:00Z</dcterms:created>
  <dcterms:modified xsi:type="dcterms:W3CDTF">2016-08-19T11:37:00Z</dcterms:modified>
</cp:coreProperties>
</file>