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A0BD0" w:rsidRPr="0078334D" w:rsidTr="00C823CC">
        <w:trPr>
          <w:trHeight w:val="1275"/>
        </w:trPr>
        <w:tc>
          <w:tcPr>
            <w:tcW w:w="4536" w:type="dxa"/>
          </w:tcPr>
          <w:p w:rsidR="003A0BD0" w:rsidRPr="003A0BD0" w:rsidRDefault="003A0BD0" w:rsidP="003A0B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A0BD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8EFFAD" wp14:editId="1AF3583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3A0B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0BD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3A0BD0" w:rsidRPr="0078334D" w:rsidTr="00C823CC">
        <w:trPr>
          <w:trHeight w:val="61"/>
        </w:trPr>
        <w:tc>
          <w:tcPr>
            <w:tcW w:w="4536" w:type="dxa"/>
          </w:tcPr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D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3A0BD0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A0BD0" w:rsidRPr="003A0BD0" w:rsidRDefault="003A0BD0" w:rsidP="003A0B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D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A0BD0" w:rsidRPr="0078334D" w:rsidTr="00C823CC">
        <w:trPr>
          <w:trHeight w:val="61"/>
        </w:trPr>
        <w:tc>
          <w:tcPr>
            <w:tcW w:w="9639" w:type="dxa"/>
            <w:gridSpan w:val="4"/>
          </w:tcPr>
          <w:p w:rsidR="003A0BD0" w:rsidRPr="003A0BD0" w:rsidRDefault="003A0BD0" w:rsidP="003A0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3A0BD0" w:rsidRPr="0078334D" w:rsidTr="00C823CC">
        <w:trPr>
          <w:trHeight w:val="1126"/>
        </w:trPr>
        <w:tc>
          <w:tcPr>
            <w:tcW w:w="5246" w:type="dxa"/>
            <w:gridSpan w:val="2"/>
          </w:tcPr>
          <w:p w:rsidR="003A0BD0" w:rsidRPr="003A0BD0" w:rsidRDefault="003A0BD0" w:rsidP="003A0BD0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A0BD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88681" wp14:editId="5E4CCE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3A0BD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98FA2" wp14:editId="752822F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3A0BD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D2A498" wp14:editId="6F01118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A0BD0" w:rsidRPr="003A0BD0" w:rsidRDefault="003A0BD0" w:rsidP="003A0BD0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3A0BD0" w:rsidRPr="003A0BD0" w:rsidRDefault="003A0BD0" w:rsidP="003A0B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3A0BD0" w:rsidRPr="003A0BD0" w:rsidRDefault="003A0BD0" w:rsidP="003A0BD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1043</w:t>
            </w:r>
          </w:p>
          <w:p w:rsidR="003A0BD0" w:rsidRPr="003A0BD0" w:rsidRDefault="003A0BD0" w:rsidP="003A0BD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A0BD0" w:rsidRPr="003A0BD0" w:rsidRDefault="003A0BD0" w:rsidP="003A0BD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A0BD0" w:rsidRPr="003A0BD0" w:rsidRDefault="003A0BD0" w:rsidP="003A0BD0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3A0BD0" w:rsidRPr="003A0BD0" w:rsidRDefault="003A0BD0" w:rsidP="003A0BD0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A0BD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3A0BD0" w:rsidRPr="003A0BD0" w:rsidRDefault="003A0BD0" w:rsidP="003A0BD0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3A0BD0" w:rsidRPr="003A0BD0" w:rsidRDefault="003A0BD0" w:rsidP="003A0BD0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 </w:t>
            </w:r>
            <w:r w:rsidRPr="003A0BD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декабря 2021 г.</w:t>
            </w:r>
          </w:p>
          <w:p w:rsidR="003A0BD0" w:rsidRPr="003A0BD0" w:rsidRDefault="003A0BD0" w:rsidP="003A0BD0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3A0BD0" w:rsidRPr="003A0BD0" w:rsidRDefault="003A0BD0" w:rsidP="003A0BD0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9F77D3" w:rsidRPr="00AD64D0" w:rsidRDefault="00AD64D0" w:rsidP="003A0BD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</w:t>
      </w:r>
      <w:r w:rsidRPr="00AD64D0">
        <w:rPr>
          <w:rFonts w:ascii="Times New Roman" w:hAnsi="Times New Roman" w:cs="Times New Roman"/>
          <w:sz w:val="28"/>
          <w:szCs w:val="28"/>
        </w:rPr>
        <w:t>и</w:t>
      </w:r>
      <w:r w:rsidRPr="00AD64D0">
        <w:rPr>
          <w:rFonts w:ascii="Times New Roman" w:hAnsi="Times New Roman" w:cs="Times New Roman"/>
          <w:sz w:val="28"/>
          <w:szCs w:val="28"/>
        </w:rPr>
        <w:t>нения вреда (ущерба) охраняемым законом ценностям при осуществлении мун</w:t>
      </w:r>
      <w:r w:rsidRPr="00AD64D0">
        <w:rPr>
          <w:rFonts w:ascii="Times New Roman" w:hAnsi="Times New Roman" w:cs="Times New Roman"/>
          <w:sz w:val="28"/>
          <w:szCs w:val="28"/>
        </w:rPr>
        <w:t>и</w:t>
      </w:r>
      <w:r w:rsidRPr="00AD64D0">
        <w:rPr>
          <w:rFonts w:ascii="Times New Roman" w:hAnsi="Times New Roman" w:cs="Times New Roman"/>
          <w:sz w:val="28"/>
          <w:szCs w:val="28"/>
        </w:rPr>
        <w:t xml:space="preserve">ципального контроля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на 2022 год</w:t>
      </w:r>
    </w:p>
    <w:p w:rsidR="009F77D3" w:rsidRPr="00AD64D0" w:rsidRDefault="009F77D3" w:rsidP="00AD64D0">
      <w:pPr>
        <w:spacing w:after="0" w:line="240" w:lineRule="auto"/>
        <w:ind w:left="446" w:right="413" w:firstLine="206"/>
        <w:jc w:val="both"/>
        <w:rPr>
          <w:rFonts w:ascii="Times New Roman" w:hAnsi="Times New Roman" w:cs="Times New Roman"/>
          <w:sz w:val="28"/>
          <w:szCs w:val="28"/>
        </w:rPr>
      </w:pPr>
    </w:p>
    <w:p w:rsidR="009F77D3" w:rsidRPr="00AD64D0" w:rsidRDefault="00146058" w:rsidP="00AD64D0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4D0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D64D0">
        <w:rPr>
          <w:rFonts w:ascii="Times New Roman" w:hAnsi="Times New Roman" w:cs="Times New Roman"/>
          <w:sz w:val="28"/>
          <w:szCs w:val="28"/>
        </w:rPr>
        <w:t>2020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 </w:t>
      </w:r>
      <w:r w:rsidRPr="00AD64D0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троле 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Pr="00AD64D0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а Российской </w:t>
      </w:r>
      <w:r w:rsidR="003A0B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Федерации от 25 июня </w:t>
      </w:r>
      <w:r w:rsidRPr="00AD64D0">
        <w:rPr>
          <w:rFonts w:ascii="Times New Roman" w:hAnsi="Times New Roman" w:cs="Times New Roman"/>
          <w:sz w:val="28"/>
          <w:szCs w:val="28"/>
        </w:rPr>
        <w:t xml:space="preserve">2021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D64D0">
        <w:rPr>
          <w:rFonts w:ascii="Times New Roman" w:hAnsi="Times New Roman" w:cs="Times New Roman"/>
          <w:sz w:val="28"/>
          <w:szCs w:val="28"/>
        </w:rPr>
        <w:t xml:space="preserve">№ 990 «Об утверждении </w:t>
      </w:r>
      <w:r w:rsidR="004E33C4" w:rsidRPr="00AD64D0">
        <w:rPr>
          <w:rFonts w:ascii="Times New Roman" w:hAnsi="Times New Roman" w:cs="Times New Roman"/>
          <w:sz w:val="28"/>
          <w:szCs w:val="28"/>
        </w:rPr>
        <w:t>П</w:t>
      </w:r>
      <w:r w:rsidRPr="00AD64D0">
        <w:rPr>
          <w:rFonts w:ascii="Times New Roman" w:hAnsi="Times New Roman" w:cs="Times New Roman"/>
          <w:sz w:val="28"/>
          <w:szCs w:val="28"/>
        </w:rPr>
        <w:t>равил разработки и утверждения контрольными (надзорными) органами программы профилактики ри</w:t>
      </w:r>
      <w:r w:rsidRPr="00AD64D0">
        <w:rPr>
          <w:rFonts w:ascii="Times New Roman" w:hAnsi="Times New Roman" w:cs="Times New Roman"/>
          <w:sz w:val="28"/>
          <w:szCs w:val="28"/>
        </w:rPr>
        <w:t>с</w:t>
      </w:r>
      <w:r w:rsidRPr="00AD64D0">
        <w:rPr>
          <w:rFonts w:ascii="Times New Roman" w:hAnsi="Times New Roman" w:cs="Times New Roman"/>
          <w:sz w:val="28"/>
          <w:szCs w:val="28"/>
        </w:rPr>
        <w:t>ков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</w:t>
      </w:r>
      <w:r w:rsidRPr="00AD64D0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ценностям»</w:t>
      </w:r>
      <w:r w:rsidR="004E33C4" w:rsidRPr="00AD64D0">
        <w:rPr>
          <w:rFonts w:ascii="Times New Roman" w:hAnsi="Times New Roman" w:cs="Times New Roman"/>
          <w:sz w:val="28"/>
          <w:szCs w:val="28"/>
        </w:rPr>
        <w:t>, учитывая заключение Общественного Совета Нижнека</w:t>
      </w:r>
      <w:r w:rsidR="004E33C4" w:rsidRPr="00AD64D0">
        <w:rPr>
          <w:rFonts w:ascii="Times New Roman" w:hAnsi="Times New Roman" w:cs="Times New Roman"/>
          <w:sz w:val="28"/>
          <w:szCs w:val="28"/>
        </w:rPr>
        <w:t>м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3A0B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от </w:t>
      </w:r>
      <w:r w:rsidR="001146F4" w:rsidRPr="00AD64D0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="00D14E13" w:rsidRPr="00AD64D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2021 года, </w:t>
      </w:r>
      <w:r w:rsidR="00D14E13" w:rsidRPr="00AD64D0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</w:t>
      </w:r>
      <w:r w:rsidR="00D14E13" w:rsidRPr="00AD64D0">
        <w:rPr>
          <w:rFonts w:ascii="Times New Roman" w:hAnsi="Times New Roman" w:cs="Times New Roman"/>
          <w:sz w:val="28"/>
          <w:szCs w:val="28"/>
        </w:rPr>
        <w:t>и</w:t>
      </w:r>
      <w:r w:rsidR="00D14E13" w:rsidRPr="00AD64D0">
        <w:rPr>
          <w:rFonts w:ascii="Times New Roman" w:hAnsi="Times New Roman" w:cs="Times New Roman"/>
          <w:sz w:val="28"/>
          <w:szCs w:val="28"/>
        </w:rPr>
        <w:t>пального района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</w:t>
      </w:r>
      <w:r w:rsidRPr="00AD64D0">
        <w:rPr>
          <w:rFonts w:ascii="Times New Roman" w:hAnsi="Times New Roman" w:cs="Times New Roman"/>
          <w:sz w:val="28"/>
          <w:szCs w:val="28"/>
        </w:rPr>
        <w:t>постановля</w:t>
      </w:r>
      <w:r w:rsidR="004E33C4" w:rsidRPr="00AD64D0">
        <w:rPr>
          <w:rFonts w:ascii="Times New Roman" w:hAnsi="Times New Roman" w:cs="Times New Roman"/>
          <w:sz w:val="28"/>
          <w:szCs w:val="28"/>
        </w:rPr>
        <w:t>ет</w:t>
      </w:r>
      <w:r w:rsidR="009F77D3" w:rsidRPr="00AD64D0">
        <w:rPr>
          <w:rFonts w:ascii="Times New Roman" w:hAnsi="Times New Roman" w:cs="Times New Roman"/>
          <w:sz w:val="28"/>
          <w:szCs w:val="28"/>
        </w:rPr>
        <w:t>:</w:t>
      </w:r>
    </w:p>
    <w:p w:rsidR="009F77D3" w:rsidRPr="00AD64D0" w:rsidRDefault="009F77D3" w:rsidP="00AD64D0">
      <w:pPr>
        <w:pStyle w:val="1"/>
        <w:keepNext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AD64D0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Pr="00AD64D0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146058" w:rsidRPr="00AD64D0">
        <w:rPr>
          <w:rFonts w:ascii="Times New Roman" w:hAnsi="Times New Roman" w:cs="Times New Roman"/>
          <w:b w:val="0"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146058" w:rsidRPr="00AD64D0">
        <w:rPr>
          <w:rFonts w:ascii="Times New Roman" w:eastAsia="Calibri" w:hAnsi="Times New Roman" w:cs="Times New Roman"/>
          <w:b w:val="0"/>
          <w:sz w:val="28"/>
          <w:szCs w:val="28"/>
        </w:rPr>
        <w:t>на автомобильном транспорте, городском наземном электрическом транспорте</w:t>
      </w:r>
      <w:r w:rsidR="00146058" w:rsidRPr="00AD64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AD64D0">
        <w:rPr>
          <w:rFonts w:ascii="Times New Roman" w:hAnsi="Times New Roman" w:cs="Times New Roman"/>
          <w:b w:val="0"/>
          <w:sz w:val="28"/>
          <w:szCs w:val="28"/>
          <w:lang w:eastAsia="en-US"/>
        </w:rPr>
        <w:t>(приложение).</w:t>
      </w:r>
    </w:p>
    <w:p w:rsidR="009F77D3" w:rsidRPr="00AD64D0" w:rsidRDefault="009F77D3" w:rsidP="00AD64D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2.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Отделу по связам с общественностью и СМИ обеспечить </w:t>
      </w:r>
      <w:r w:rsidRPr="00AD64D0">
        <w:rPr>
          <w:rFonts w:ascii="Times New Roman" w:hAnsi="Times New Roman" w:cs="Times New Roman"/>
          <w:color w:val="000000"/>
          <w:sz w:val="28"/>
          <w:szCs w:val="28"/>
        </w:rPr>
        <w:t>разме</w:t>
      </w:r>
      <w:r w:rsidR="004E33C4" w:rsidRPr="00AD64D0">
        <w:rPr>
          <w:rFonts w:ascii="Times New Roman" w:hAnsi="Times New Roman" w:cs="Times New Roman"/>
          <w:color w:val="000000"/>
          <w:sz w:val="28"/>
          <w:szCs w:val="28"/>
        </w:rPr>
        <w:t xml:space="preserve">щение настоящего постановления </w:t>
      </w:r>
      <w:r w:rsidRPr="00AD64D0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Нижнекамского муниципального района в информационно-телекоммуникационной сети «Интернет»</w:t>
      </w:r>
      <w:r w:rsidR="004E33C4" w:rsidRPr="00AD6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7D3" w:rsidRPr="00AD64D0" w:rsidRDefault="009F77D3" w:rsidP="00AD64D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64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4D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64D0" w:rsidRPr="00AD64D0">
        <w:rPr>
          <w:rFonts w:ascii="Times New Roman" w:hAnsi="Times New Roman" w:cs="Times New Roman"/>
          <w:sz w:val="28"/>
          <w:szCs w:val="28"/>
        </w:rPr>
        <w:t>п</w:t>
      </w:r>
      <w:r w:rsidR="004E33C4" w:rsidRPr="00AD64D0">
        <w:rPr>
          <w:rFonts w:ascii="Times New Roman" w:hAnsi="Times New Roman" w:cs="Times New Roman"/>
          <w:sz w:val="28"/>
          <w:szCs w:val="28"/>
        </w:rPr>
        <w:t>остановления</w:t>
      </w:r>
      <w:r w:rsidRPr="00AD64D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D64D0" w:rsidRPr="00AD64D0">
        <w:rPr>
          <w:rFonts w:ascii="Times New Roman" w:hAnsi="Times New Roman" w:cs="Times New Roman"/>
          <w:sz w:val="28"/>
          <w:szCs w:val="28"/>
        </w:rPr>
        <w:t>з</w:t>
      </w:r>
      <w:r w:rsidR="00146058" w:rsidRPr="00AD64D0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AD64D0" w:rsidRPr="00AD64D0">
        <w:rPr>
          <w:rFonts w:ascii="Times New Roman" w:hAnsi="Times New Roman" w:cs="Times New Roman"/>
          <w:sz w:val="28"/>
          <w:szCs w:val="28"/>
        </w:rPr>
        <w:t>Р</w:t>
      </w:r>
      <w:r w:rsidR="00146058" w:rsidRPr="00AD64D0">
        <w:rPr>
          <w:rFonts w:ascii="Times New Roman" w:hAnsi="Times New Roman" w:cs="Times New Roman"/>
          <w:sz w:val="28"/>
          <w:szCs w:val="28"/>
        </w:rPr>
        <w:t>уководителя Исполнительного комитета Нижнекамского муниципального района</w:t>
      </w:r>
      <w:r w:rsidR="004E33C4" w:rsidRPr="00AD64D0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</w:t>
      </w:r>
      <w:r w:rsidR="00146058" w:rsidRPr="00AD64D0">
        <w:rPr>
          <w:rFonts w:ascii="Times New Roman" w:hAnsi="Times New Roman" w:cs="Times New Roman"/>
          <w:sz w:val="28"/>
          <w:szCs w:val="28"/>
        </w:rPr>
        <w:t>.</w:t>
      </w:r>
    </w:p>
    <w:p w:rsidR="007D0EEC" w:rsidRPr="00AD64D0" w:rsidRDefault="007D0EEC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F77D3" w:rsidRPr="00AD64D0" w:rsidRDefault="009F77D3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F77D3" w:rsidRPr="00AD64D0" w:rsidRDefault="00146058" w:rsidP="00AD64D0">
      <w:pPr>
        <w:spacing w:after="0" w:line="240" w:lineRule="auto"/>
        <w:ind w:left="-142" w:right="-1" w:firstLine="284"/>
        <w:rPr>
          <w:rFonts w:ascii="Times New Roman" w:eastAsia="Calibri" w:hAnsi="Times New Roman" w:cs="Times New Roman"/>
          <w:bCs/>
          <w:sz w:val="28"/>
          <w:szCs w:val="28"/>
        </w:rPr>
      </w:pP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                                                     </w:t>
      </w:r>
      <w:r w:rsidR="00D14E13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8C1BF5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A0BD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AD64D0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D14E13" w:rsidRPr="00AD64D0">
        <w:rPr>
          <w:rFonts w:ascii="Times New Roman" w:eastAsia="Calibri" w:hAnsi="Times New Roman" w:cs="Times New Roman"/>
          <w:bCs/>
          <w:sz w:val="28"/>
          <w:szCs w:val="28"/>
        </w:rPr>
        <w:t>Р.Х.</w:t>
      </w:r>
      <w:r w:rsidR="00AD64D0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D14E13" w:rsidRPr="00AD64D0">
        <w:rPr>
          <w:rFonts w:ascii="Times New Roman" w:eastAsia="Calibri" w:hAnsi="Times New Roman" w:cs="Times New Roman"/>
          <w:bCs/>
          <w:sz w:val="28"/>
          <w:szCs w:val="28"/>
        </w:rPr>
        <w:t>Му</w:t>
      </w:r>
      <w:r w:rsidR="00D14E13" w:rsidRPr="00AD64D0"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="00D14E13" w:rsidRPr="00AD64D0">
        <w:rPr>
          <w:rFonts w:ascii="Times New Roman" w:eastAsia="Calibri" w:hAnsi="Times New Roman" w:cs="Times New Roman"/>
          <w:bCs/>
          <w:sz w:val="28"/>
          <w:szCs w:val="28"/>
        </w:rPr>
        <w:t>лин</w:t>
      </w:r>
      <w:proofErr w:type="spellEnd"/>
    </w:p>
    <w:p w:rsidR="00D14E13" w:rsidRPr="00AD64D0" w:rsidRDefault="00D14E13" w:rsidP="00AD64D0">
      <w:pPr>
        <w:spacing w:after="0" w:line="240" w:lineRule="auto"/>
        <w:ind w:left="-142" w:right="413" w:firstLine="28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F77D3" w:rsidRPr="00AD64D0" w:rsidRDefault="009F77D3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F77D3" w:rsidRPr="00AD64D0" w:rsidRDefault="009F77D3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D64D0" w:rsidRPr="00AD64D0" w:rsidRDefault="00AD64D0" w:rsidP="00AD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D64D0" w:rsidRPr="00AD64D0" w:rsidSect="003A0BD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D64D0" w:rsidRPr="00AD64D0" w:rsidRDefault="00AD64D0" w:rsidP="00AD64D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64D0" w:rsidRPr="00AD64D0" w:rsidRDefault="00AD64D0" w:rsidP="00AD64D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Утверждено</w:t>
      </w:r>
    </w:p>
    <w:p w:rsidR="00AD64D0" w:rsidRPr="00AD64D0" w:rsidRDefault="00AD64D0" w:rsidP="00AD64D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AD64D0" w:rsidRPr="00AD64D0" w:rsidRDefault="00AD64D0" w:rsidP="00AD64D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AD64D0" w:rsidRPr="00AD64D0" w:rsidRDefault="00AD64D0" w:rsidP="00AD64D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F77D3" w:rsidRPr="00AD64D0" w:rsidRDefault="00AD64D0" w:rsidP="00AD64D0">
      <w:pPr>
        <w:spacing w:after="0" w:line="240" w:lineRule="auto"/>
        <w:ind w:left="4820" w:right="413"/>
        <w:rPr>
          <w:rFonts w:ascii="Times New Roman" w:eastAsia="Calibri" w:hAnsi="Times New Roman" w:cs="Times New Roman"/>
          <w:bCs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от </w:t>
      </w:r>
      <w:r w:rsidR="003A0BD0">
        <w:rPr>
          <w:rFonts w:ascii="Times New Roman" w:hAnsi="Times New Roman" w:cs="Times New Roman"/>
          <w:sz w:val="28"/>
          <w:szCs w:val="28"/>
        </w:rPr>
        <w:t>20.12.</w:t>
      </w:r>
      <w:r w:rsidRPr="00AD64D0">
        <w:rPr>
          <w:rFonts w:ascii="Times New Roman" w:hAnsi="Times New Roman" w:cs="Times New Roman"/>
          <w:sz w:val="28"/>
          <w:szCs w:val="28"/>
        </w:rPr>
        <w:t xml:space="preserve">2021 № </w:t>
      </w:r>
      <w:r w:rsidR="003A0BD0">
        <w:rPr>
          <w:rFonts w:ascii="Times New Roman" w:hAnsi="Times New Roman" w:cs="Times New Roman"/>
          <w:sz w:val="28"/>
          <w:szCs w:val="28"/>
        </w:rPr>
        <w:t>1043</w:t>
      </w:r>
      <w:bookmarkStart w:id="0" w:name="_GoBack"/>
      <w:bookmarkEnd w:id="0"/>
    </w:p>
    <w:p w:rsidR="004E33C4" w:rsidRPr="00AD64D0" w:rsidRDefault="004E33C4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E33C4" w:rsidRPr="00AD64D0" w:rsidRDefault="004E33C4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6058" w:rsidRPr="00AD64D0" w:rsidRDefault="00146058" w:rsidP="00AD64D0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9F77D3" w:rsidRPr="00AD64D0" w:rsidRDefault="00146058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</w:t>
      </w:r>
      <w:r w:rsidR="004E33C4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на 2022 год</w:t>
      </w:r>
    </w:p>
    <w:p w:rsidR="009F77D3" w:rsidRPr="00AD64D0" w:rsidRDefault="009F77D3" w:rsidP="00AD64D0">
      <w:pPr>
        <w:spacing w:after="0" w:line="240" w:lineRule="auto"/>
        <w:ind w:left="446" w:right="413" w:firstLine="20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7D0EEC" w:rsidRPr="00AD64D0" w:rsidTr="00AD64D0">
        <w:tc>
          <w:tcPr>
            <w:tcW w:w="2552" w:type="dxa"/>
          </w:tcPr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38" w:type="dxa"/>
          </w:tcPr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муниц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контроля 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</w:t>
            </w:r>
            <w:r w:rsidR="004E33C4"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2022 год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профилактики)</w:t>
            </w:r>
          </w:p>
        </w:tc>
      </w:tr>
      <w:tr w:rsidR="007D0EEC" w:rsidRPr="00AD64D0" w:rsidTr="00AD64D0">
        <w:tc>
          <w:tcPr>
            <w:tcW w:w="2552" w:type="dxa"/>
          </w:tcPr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Правовые основ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ния разработки программы</w:t>
            </w:r>
          </w:p>
        </w:tc>
        <w:tc>
          <w:tcPr>
            <w:tcW w:w="7938" w:type="dxa"/>
          </w:tcPr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31.07.2020 </w:t>
            </w:r>
            <w:r w:rsidR="004E33C4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248-ФЗ «О госуда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ственном контроле (надзоре) и муниципальном контроле в Ро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кона «О государственном контроле (надзоре) и муниципальном контроле в Российской Федерации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, постановление Правител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ства Российской Федерации от 25.06.2021 №990«Об утвержд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нии правил разработки и утверждения контрольными</w:t>
            </w:r>
            <w:proofErr w:type="gramEnd"/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(надзо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ными) органами программы профилактики рисков причинения вреда (ущерба) охраняемым законом ценностям»</w:t>
            </w:r>
            <w:r w:rsidR="004E33C4" w:rsidRPr="00AD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0EEC" w:rsidRPr="00AD64D0" w:rsidTr="00AD64D0">
        <w:tc>
          <w:tcPr>
            <w:tcW w:w="2552" w:type="dxa"/>
          </w:tcPr>
          <w:p w:rsidR="00AD64D0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</w:tcPr>
          <w:p w:rsidR="007D0EEC" w:rsidRPr="00AD64D0" w:rsidRDefault="004E33C4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общественных перевозок и транспорта </w:t>
            </w:r>
            <w:r w:rsidR="007D0EEC" w:rsidRPr="00AD64D0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</w:t>
            </w:r>
            <w:r w:rsidR="009F3C43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F3C43" w:rsidRPr="00AD64D0">
              <w:rPr>
                <w:rFonts w:ascii="Times New Roman" w:hAnsi="Times New Roman" w:cs="Times New Roman"/>
                <w:sz w:val="28"/>
                <w:szCs w:val="28"/>
              </w:rPr>
              <w:t>отдел общественных перевозок и транспорта).</w:t>
            </w:r>
          </w:p>
        </w:tc>
      </w:tr>
      <w:tr w:rsidR="007D0EEC" w:rsidRPr="00AD64D0" w:rsidTr="00AD64D0">
        <w:tc>
          <w:tcPr>
            <w:tcW w:w="2552" w:type="dxa"/>
          </w:tcPr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938" w:type="dxa"/>
          </w:tcPr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1. 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2. Снижение административной нагрузки на подконтрольные субъекты.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результативности и эффективности контрольной деятельности в сфере </w:t>
            </w: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>автомобильного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транспорт</w:t>
            </w: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>а,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городского наземного электрического транспорта</w:t>
            </w:r>
          </w:p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уровня ущерба охраняемым законом ценностям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33C4" w:rsidRPr="00AD64D0" w:rsidRDefault="004E33C4" w:rsidP="00AD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5. Устранение условий, причин и факторов, способных прив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сти к нарушениям обязательных требований и (или) причин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нию вреда (ущерба) охраняемым законом ценностям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33C4" w:rsidRPr="00AD64D0" w:rsidRDefault="004E33C4" w:rsidP="00AD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С</w:t>
            </w: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C0D12" w:rsidRPr="00AD64D0" w:rsidTr="00AD64D0">
        <w:tc>
          <w:tcPr>
            <w:tcW w:w="2552" w:type="dxa"/>
          </w:tcPr>
          <w:p w:rsidR="008C0D12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муниципал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ного контроля</w:t>
            </w:r>
          </w:p>
        </w:tc>
        <w:tc>
          <w:tcPr>
            <w:tcW w:w="7938" w:type="dxa"/>
          </w:tcPr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на автомобильном транспорте, 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наземном электрическом транспорте </w:t>
            </w:r>
          </w:p>
        </w:tc>
      </w:tr>
      <w:tr w:rsidR="007D0EEC" w:rsidRPr="00AD64D0" w:rsidTr="00AD64D0">
        <w:tc>
          <w:tcPr>
            <w:tcW w:w="2552" w:type="dxa"/>
          </w:tcPr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938" w:type="dxa"/>
          </w:tcPr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1. Предотвращение рисков причинения вреда охраняемым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законом ценностям.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3. Информирование, консультирование контролируемых лиц с использованием информационно-телекоммуникационных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</w:t>
            </w:r>
          </w:p>
          <w:p w:rsidR="008C0D12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4. Обеспечение доступности информации об обязательных тр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бованиях и необходимых мерах по их исполнению</w:t>
            </w:r>
            <w:r w:rsidR="008C0D12" w:rsidRPr="00AD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0D12" w:rsidRPr="00AD64D0" w:rsidTr="00AD64D0">
        <w:tc>
          <w:tcPr>
            <w:tcW w:w="2552" w:type="dxa"/>
            <w:shd w:val="clear" w:color="auto" w:fill="auto"/>
          </w:tcPr>
          <w:p w:rsidR="00AD64D0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</w:t>
            </w:r>
          </w:p>
          <w:p w:rsidR="00AD64D0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8C0D12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iCs/>
                <w:sz w:val="28"/>
                <w:szCs w:val="28"/>
              </w:rPr>
              <w:t>Срок реализации Программы: 2022 г</w:t>
            </w:r>
            <w:r w:rsidR="002520E0" w:rsidRPr="00AD64D0">
              <w:rPr>
                <w:rFonts w:ascii="Times New Roman" w:hAnsi="Times New Roman" w:cs="Times New Roman"/>
                <w:iCs/>
                <w:sz w:val="28"/>
                <w:szCs w:val="28"/>
              </w:rPr>
              <w:t>од</w:t>
            </w:r>
            <w:r w:rsidRPr="00AD64D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</w:t>
            </w:r>
          </w:p>
        </w:tc>
      </w:tr>
      <w:tr w:rsidR="008C0D12" w:rsidRPr="00AD64D0" w:rsidTr="00AD64D0">
        <w:tc>
          <w:tcPr>
            <w:tcW w:w="2552" w:type="dxa"/>
            <w:shd w:val="clear" w:color="auto" w:fill="auto"/>
          </w:tcPr>
          <w:p w:rsidR="00AD64D0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</w:p>
          <w:p w:rsidR="008C0D12" w:rsidRPr="00AD64D0" w:rsidRDefault="008C0D1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938" w:type="dxa"/>
            <w:shd w:val="clear" w:color="auto" w:fill="auto"/>
          </w:tcPr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осуществляется в рамках текущего</w:t>
            </w:r>
            <w:r w:rsidR="00AD64D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деятельности Исполнительного комитета Нижнекамского муниципального района на соответствующий финансовый год.</w:t>
            </w:r>
          </w:p>
        </w:tc>
      </w:tr>
      <w:tr w:rsidR="007D0EEC" w:rsidRPr="00AD64D0" w:rsidTr="00AD64D0">
        <w:tc>
          <w:tcPr>
            <w:tcW w:w="2552" w:type="dxa"/>
          </w:tcPr>
          <w:p w:rsidR="007D0EEC" w:rsidRPr="00AD64D0" w:rsidRDefault="007D0EEC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Ожидаемые 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зультаты реализ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7938" w:type="dxa"/>
          </w:tcPr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1. Увеличение числа контролируемых лиц, соблюдающих при осуществлении деятельности обязательные требования закон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дательства.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количества </w:t>
            </w:r>
            <w:r w:rsidRPr="00AD64D0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устраненных нарушений от числа выявленных нарушений обязательных требований.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качества предоставляемых услуг населению. </w:t>
            </w:r>
          </w:p>
          <w:p w:rsidR="007D0EEC" w:rsidRPr="00AD64D0" w:rsidRDefault="007D0EEC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4. Повышение правосознания и правовой культуры контрол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руемых лиц.</w:t>
            </w:r>
          </w:p>
          <w:p w:rsidR="008C0D12" w:rsidRPr="00AD64D0" w:rsidRDefault="008C0D1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5. Повышение прозрачности деятельности органов муниц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пального контроля.</w:t>
            </w:r>
          </w:p>
        </w:tc>
      </w:tr>
      <w:tr w:rsidR="00A16EB2" w:rsidRPr="00AD64D0" w:rsidTr="00AD64D0">
        <w:tc>
          <w:tcPr>
            <w:tcW w:w="2552" w:type="dxa"/>
          </w:tcPr>
          <w:p w:rsidR="00A16EB2" w:rsidRPr="00AD64D0" w:rsidRDefault="00A16EB2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Структура пр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938" w:type="dxa"/>
          </w:tcPr>
          <w:p w:rsidR="00A16EB2" w:rsidRPr="00AD64D0" w:rsidRDefault="00A16EB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1. Анализ и оценка </w:t>
            </w:r>
            <w:r w:rsidR="002520E0"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текущего </w:t>
            </w: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состояния подконтрольной сферы.</w:t>
            </w:r>
          </w:p>
          <w:p w:rsidR="00A16EB2" w:rsidRPr="00AD64D0" w:rsidRDefault="00A16EB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2.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реализации программы профилактики.</w:t>
            </w:r>
          </w:p>
          <w:p w:rsidR="00A16EB2" w:rsidRPr="00AD64D0" w:rsidRDefault="00A16EB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3.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профилактических мероприятий, сроки </w:t>
            </w:r>
            <w:r w:rsidR="00AD64D0"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>(периодичность) их проведения.</w:t>
            </w:r>
          </w:p>
          <w:p w:rsidR="00A16EB2" w:rsidRPr="00AD64D0" w:rsidRDefault="00A16EB2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4. 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и эффективности пр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граммы профилактики рисков причинения вреда (ущерба)</w:t>
            </w:r>
            <w:r w:rsidR="00C9321C" w:rsidRPr="00AD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D0EEC" w:rsidRPr="00AD64D0" w:rsidRDefault="007D0EEC" w:rsidP="00AD64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64D0" w:rsidRPr="00AD64D0" w:rsidRDefault="007D0EEC" w:rsidP="00AD64D0">
      <w:pPr>
        <w:tabs>
          <w:tab w:val="left" w:pos="-142"/>
        </w:tabs>
        <w:spacing w:after="0" w:line="240" w:lineRule="auto"/>
        <w:ind w:right="-1"/>
        <w:jc w:val="center"/>
        <w:rPr>
          <w:rFonts w:ascii="PT Astra Serif" w:hAnsi="PT Astra Serif"/>
          <w:bCs/>
          <w:sz w:val="28"/>
          <w:szCs w:val="28"/>
        </w:rPr>
      </w:pPr>
      <w:r w:rsidRPr="00AD64D0">
        <w:rPr>
          <w:rFonts w:ascii="PT Astra Serif" w:hAnsi="PT Astra Serif"/>
          <w:sz w:val="28"/>
          <w:szCs w:val="28"/>
        </w:rPr>
        <w:t>1. Анализ текущего состояния осуществления муниципального контроля</w:t>
      </w:r>
      <w:r w:rsidRPr="00AD64D0">
        <w:rPr>
          <w:rFonts w:ascii="PT Astra Serif" w:hAnsi="PT Astra Serif"/>
          <w:bCs/>
          <w:sz w:val="28"/>
          <w:szCs w:val="28"/>
        </w:rPr>
        <w:t xml:space="preserve"> </w:t>
      </w:r>
    </w:p>
    <w:p w:rsidR="007D0EEC" w:rsidRPr="00AD64D0" w:rsidRDefault="007D0EEC" w:rsidP="00AD64D0">
      <w:pPr>
        <w:tabs>
          <w:tab w:val="left" w:pos="-142"/>
        </w:tabs>
        <w:spacing w:after="0" w:line="240" w:lineRule="auto"/>
        <w:ind w:right="-1"/>
        <w:jc w:val="center"/>
        <w:rPr>
          <w:rFonts w:ascii="PT Astra Serif" w:hAnsi="PT Astra Serif"/>
          <w:sz w:val="28"/>
          <w:szCs w:val="28"/>
        </w:rPr>
      </w:pPr>
      <w:r w:rsidRPr="00AD64D0">
        <w:rPr>
          <w:rFonts w:ascii="PT Astra Serif" w:eastAsia="Calibri" w:hAnsi="PT Astra Serif" w:cs="Times New Roman"/>
          <w:bCs/>
          <w:sz w:val="28"/>
          <w:szCs w:val="28"/>
        </w:rPr>
        <w:t>на автомобильном транспорте, городском наземном электрическом транспорте</w:t>
      </w:r>
    </w:p>
    <w:p w:rsidR="007D0EEC" w:rsidRPr="00AD64D0" w:rsidRDefault="007D0EEC" w:rsidP="00AD64D0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sz w:val="28"/>
          <w:szCs w:val="28"/>
        </w:rPr>
      </w:pPr>
    </w:p>
    <w:p w:rsidR="00D2295D" w:rsidRPr="00AD64D0" w:rsidRDefault="007D0EEC" w:rsidP="00AD64D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PT Astra Serif" w:hAnsi="PT Astra Serif"/>
          <w:sz w:val="28"/>
          <w:szCs w:val="28"/>
        </w:rPr>
        <w:lastRenderedPageBreak/>
        <w:tab/>
      </w:r>
      <w:r w:rsidRPr="00AD64D0">
        <w:rPr>
          <w:rFonts w:ascii="Times New Roman" w:hAnsi="Times New Roman" w:cs="Times New Roman"/>
          <w:sz w:val="28"/>
          <w:szCs w:val="28"/>
        </w:rPr>
        <w:t xml:space="preserve">1.1. </w:t>
      </w:r>
      <w:r w:rsidR="00A16EB2" w:rsidRPr="00AD64D0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 лицом, индивидуальным предпринимателем в процессе осуществления деятельн</w:t>
      </w:r>
      <w:r w:rsidR="00A16EB2" w:rsidRPr="00AD64D0">
        <w:rPr>
          <w:rFonts w:ascii="Times New Roman" w:hAnsi="Times New Roman" w:cs="Times New Roman"/>
          <w:sz w:val="28"/>
          <w:szCs w:val="28"/>
        </w:rPr>
        <w:t>о</w:t>
      </w:r>
      <w:r w:rsidR="00A16EB2" w:rsidRPr="00AD64D0">
        <w:rPr>
          <w:rFonts w:ascii="Times New Roman" w:hAnsi="Times New Roman" w:cs="Times New Roman"/>
          <w:sz w:val="28"/>
          <w:szCs w:val="28"/>
        </w:rPr>
        <w:t>сти на территории Нижнекамского муниципального района совокупности предъя</w:t>
      </w:r>
      <w:r w:rsidR="00A16EB2" w:rsidRPr="00AD64D0">
        <w:rPr>
          <w:rFonts w:ascii="Times New Roman" w:hAnsi="Times New Roman" w:cs="Times New Roman"/>
          <w:sz w:val="28"/>
          <w:szCs w:val="28"/>
        </w:rPr>
        <w:t>в</w:t>
      </w:r>
      <w:r w:rsidR="00A16EB2" w:rsidRPr="00AD64D0">
        <w:rPr>
          <w:rFonts w:ascii="Times New Roman" w:hAnsi="Times New Roman" w:cs="Times New Roman"/>
          <w:sz w:val="28"/>
          <w:szCs w:val="28"/>
        </w:rPr>
        <w:t>ляемых обязательных требований и требований, установленных муниципальными правовыми актами</w:t>
      </w:r>
      <w:r w:rsidR="00D2295D" w:rsidRPr="00AD64D0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D2295D" w:rsidRPr="00AD64D0" w:rsidRDefault="00D2295D" w:rsidP="00AD64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1.2. В зависимости от объекта, в отношении которого осуществляется мун</w:t>
      </w:r>
      <w:r w:rsidRPr="00AD64D0">
        <w:rPr>
          <w:rFonts w:ascii="Times New Roman" w:hAnsi="Times New Roman" w:cs="Times New Roman"/>
          <w:sz w:val="28"/>
          <w:szCs w:val="28"/>
        </w:rPr>
        <w:t>и</w:t>
      </w:r>
      <w:r w:rsidRPr="00AD64D0">
        <w:rPr>
          <w:rFonts w:ascii="Times New Roman" w:hAnsi="Times New Roman" w:cs="Times New Roman"/>
          <w:sz w:val="28"/>
          <w:szCs w:val="28"/>
        </w:rPr>
        <w:t xml:space="preserve">ципальный контроль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транспорте, городском наземном электрич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ском транспорте</w:t>
      </w:r>
      <w:r w:rsidRPr="00AD64D0">
        <w:rPr>
          <w:rFonts w:ascii="Times New Roman" w:hAnsi="Times New Roman" w:cs="Times New Roman"/>
          <w:sz w:val="28"/>
          <w:szCs w:val="28"/>
        </w:rPr>
        <w:t xml:space="preserve">, выделяются следующие типы контролируемых лиц: </w:t>
      </w:r>
    </w:p>
    <w:p w:rsidR="00D2295D" w:rsidRPr="00AD64D0" w:rsidRDefault="00D2295D" w:rsidP="00AD64D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D64D0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AD64D0">
        <w:rPr>
          <w:rFonts w:ascii="Times New Roman" w:hAnsi="Times New Roman" w:cs="Times New Roman"/>
          <w:sz w:val="28"/>
          <w:szCs w:val="28"/>
        </w:rPr>
        <w:t>е</w:t>
      </w:r>
      <w:r w:rsidRPr="00AD64D0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AD64D0">
        <w:rPr>
          <w:rFonts w:ascii="Times New Roman" w:hAnsi="Times New Roman" w:cs="Times New Roman"/>
          <w:sz w:val="28"/>
          <w:szCs w:val="28"/>
        </w:rPr>
        <w:t>е</w:t>
      </w:r>
      <w:r w:rsidRPr="00AD64D0">
        <w:rPr>
          <w:rFonts w:ascii="Times New Roman" w:eastAsia="Calibri" w:hAnsi="Times New Roman" w:cs="Times New Roman"/>
          <w:sz w:val="28"/>
          <w:szCs w:val="28"/>
        </w:rPr>
        <w:t xml:space="preserve"> предприниматели</w:t>
      </w:r>
      <w:r w:rsidRPr="00AD64D0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</w:t>
      </w:r>
      <w:r w:rsidRPr="00AD64D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AD6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5D6" w:rsidRPr="00AD64D0">
        <w:rPr>
          <w:rFonts w:ascii="Times New Roman" w:hAnsi="Times New Roman" w:cs="Times New Roman"/>
          <w:bCs/>
          <w:sz w:val="28"/>
          <w:szCs w:val="28"/>
        </w:rPr>
        <w:t xml:space="preserve">пассажирских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перевозок по муниципальным маршрутам </w:t>
      </w:r>
      <w:r w:rsidR="00AD64D0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регулярных перевозок;</w:t>
      </w:r>
    </w:p>
    <w:p w:rsidR="00D2295D" w:rsidRPr="00AD64D0" w:rsidRDefault="00D2295D" w:rsidP="00AD64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- собственники и арендаторы объектов транспортной </w:t>
      </w:r>
      <w:proofErr w:type="gramStart"/>
      <w:r w:rsidR="008E0C9D" w:rsidRPr="00AD64D0">
        <w:rPr>
          <w:rFonts w:ascii="Times New Roman" w:eastAsia="Calibri" w:hAnsi="Times New Roman" w:cs="Times New Roman"/>
          <w:bCs/>
          <w:sz w:val="28"/>
          <w:szCs w:val="28"/>
        </w:rPr>
        <w:t>инфраструктуры</w:t>
      </w:r>
      <w:proofErr w:type="gramEnd"/>
      <w:r w:rsidR="008B25D6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D64D0" w:rsidRPr="00AD64D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8B25D6" w:rsidRPr="00AD64D0">
        <w:rPr>
          <w:rFonts w:ascii="Times New Roman" w:eastAsia="Calibri" w:hAnsi="Times New Roman" w:cs="Times New Roman"/>
          <w:bCs/>
          <w:sz w:val="28"/>
          <w:szCs w:val="28"/>
        </w:rPr>
        <w:t>осуществляющие пассажирские перевозки</w:t>
      </w:r>
      <w:r w:rsidRPr="00AD64D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D0EEC" w:rsidRPr="00AD64D0" w:rsidRDefault="007D0EEC" w:rsidP="00AD64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2. Характеристика проблем, на решение которых направлена программа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64D0">
        <w:rPr>
          <w:rFonts w:ascii="Times New Roman" w:hAnsi="Times New Roman" w:cs="Times New Roman"/>
          <w:sz w:val="28"/>
          <w:szCs w:val="28"/>
        </w:rPr>
        <w:t xml:space="preserve"> профилактики:</w:t>
      </w:r>
    </w:p>
    <w:p w:rsidR="00072722" w:rsidRPr="00AD64D0" w:rsidRDefault="00072722" w:rsidP="00AD64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0">
        <w:rPr>
          <w:rFonts w:ascii="Times New Roman" w:hAnsi="Times New Roman" w:cs="Times New Roman"/>
          <w:sz w:val="28"/>
          <w:szCs w:val="28"/>
        </w:rPr>
        <w:t>-</w:t>
      </w:r>
      <w:r w:rsidRPr="00AD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юридическими лицами, индивидуальными предпринимателями (далее – контролируемые лица) обязательных требований установленных в отнош</w:t>
      </w:r>
      <w:r w:rsidRPr="00AD64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перевозок по муниципальным маршрутам на автомобильном транспорте, </w:t>
      </w:r>
      <w:r w:rsidR="00AD64D0" w:rsidRPr="00AD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D6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наземном электрическом транспорте;</w:t>
      </w:r>
    </w:p>
    <w:p w:rsidR="00072722" w:rsidRPr="00AD64D0" w:rsidRDefault="00072722" w:rsidP="00AD64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исполнение решений, принимаемых по результатам контрольных меропри</w:t>
      </w:r>
      <w:r w:rsidRPr="00AD64D0">
        <w:rPr>
          <w:rFonts w:ascii="Times New Roman" w:hAnsi="Times New Roman" w:cs="Times New Roman"/>
          <w:sz w:val="28"/>
          <w:szCs w:val="28"/>
        </w:rPr>
        <w:t>я</w:t>
      </w:r>
      <w:r w:rsidRPr="00AD64D0">
        <w:rPr>
          <w:rFonts w:ascii="Times New Roman" w:hAnsi="Times New Roman" w:cs="Times New Roman"/>
          <w:sz w:val="28"/>
          <w:szCs w:val="28"/>
        </w:rPr>
        <w:t>тий</w:t>
      </w:r>
    </w:p>
    <w:p w:rsidR="008E0C9D" w:rsidRPr="00AD64D0" w:rsidRDefault="008B25D6" w:rsidP="00AD64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нарушение лицензионных требований и условий владельцами лицензий</w:t>
      </w:r>
      <w:r w:rsidR="00AD64D0" w:rsidRPr="00AD64D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64D0">
        <w:rPr>
          <w:rFonts w:ascii="Times New Roman" w:hAnsi="Times New Roman" w:cs="Times New Roman"/>
          <w:sz w:val="28"/>
          <w:szCs w:val="28"/>
        </w:rPr>
        <w:t xml:space="preserve"> по перевозке пассажиров автомобильным транспортом, оборудованным для</w:t>
      </w:r>
      <w:r w:rsidR="00072722" w:rsidRPr="00AD64D0">
        <w:rPr>
          <w:rFonts w:ascii="Times New Roman" w:hAnsi="Times New Roman" w:cs="Times New Roman"/>
          <w:sz w:val="28"/>
          <w:szCs w:val="28"/>
        </w:rPr>
        <w:t xml:space="preserve"> перев</w:t>
      </w:r>
      <w:r w:rsidR="00072722" w:rsidRPr="00AD64D0">
        <w:rPr>
          <w:rFonts w:ascii="Times New Roman" w:hAnsi="Times New Roman" w:cs="Times New Roman"/>
          <w:sz w:val="28"/>
          <w:szCs w:val="28"/>
        </w:rPr>
        <w:t>о</w:t>
      </w:r>
      <w:r w:rsidR="00072722" w:rsidRPr="00AD64D0">
        <w:rPr>
          <w:rFonts w:ascii="Times New Roman" w:hAnsi="Times New Roman" w:cs="Times New Roman"/>
          <w:sz w:val="28"/>
          <w:szCs w:val="28"/>
        </w:rPr>
        <w:t>зок более восьми человек;</w:t>
      </w:r>
    </w:p>
    <w:p w:rsidR="007D0EEC" w:rsidRPr="00AD64D0" w:rsidRDefault="007D0EEC" w:rsidP="00AD64D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EEC" w:rsidRPr="00AD64D0" w:rsidRDefault="00A16EB2" w:rsidP="00AD64D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0EEC" w:rsidRPr="00AD64D0">
        <w:rPr>
          <w:rFonts w:ascii="Times New Roman" w:eastAsia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7D0EEC" w:rsidRPr="00AD64D0" w:rsidRDefault="00A16EB2" w:rsidP="00AD64D0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0EEC" w:rsidRPr="00AD64D0">
        <w:rPr>
          <w:rFonts w:ascii="Times New Roman" w:eastAsia="Times New Roman" w:hAnsi="Times New Roman" w:cs="Times New Roman"/>
          <w:sz w:val="28"/>
          <w:szCs w:val="28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D0EEC" w:rsidRPr="00AD64D0" w:rsidRDefault="007D0EEC" w:rsidP="00AD64D0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D64D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7D0EEC" w:rsidRPr="00AD64D0" w:rsidRDefault="007D0EEC" w:rsidP="00AD64D0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D64D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ям обязательных требований и (или) причинению вреда (ущерба) охраняемым зак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ном ценностям;</w:t>
      </w:r>
    </w:p>
    <w:p w:rsidR="007D0EEC" w:rsidRPr="00AD64D0" w:rsidRDefault="007D0EEC" w:rsidP="00AD64D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AD64D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64D0">
        <w:rPr>
          <w:rFonts w:ascii="Times New Roman" w:eastAsia="Times New Roman" w:hAnsi="Times New Roman" w:cs="Times New Roman"/>
          <w:sz w:val="28"/>
          <w:szCs w:val="28"/>
        </w:rPr>
        <w:t>мых лиц, повышение информирова</w:t>
      </w:r>
      <w:r w:rsidR="00A16EB2" w:rsidRPr="00AD64D0">
        <w:rPr>
          <w:rFonts w:ascii="Times New Roman" w:eastAsia="Times New Roman" w:hAnsi="Times New Roman" w:cs="Times New Roman"/>
          <w:sz w:val="28"/>
          <w:szCs w:val="28"/>
        </w:rPr>
        <w:t xml:space="preserve">нности о способах их </w:t>
      </w:r>
      <w:r w:rsidR="009F3C43" w:rsidRPr="00AD64D0">
        <w:rPr>
          <w:rFonts w:ascii="Times New Roman" w:eastAsia="Times New Roman" w:hAnsi="Times New Roman" w:cs="Times New Roman"/>
          <w:sz w:val="28"/>
          <w:szCs w:val="28"/>
        </w:rPr>
        <w:t>соблюдения.</w:t>
      </w:r>
    </w:p>
    <w:p w:rsidR="007D0EEC" w:rsidRPr="00AD64D0" w:rsidRDefault="00A16EB2" w:rsidP="00AD64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D0EEC"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7D0EEC" w:rsidRPr="00AD64D0" w:rsidRDefault="007D0EEC" w:rsidP="00AD64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7D0EEC" w:rsidRPr="00AD64D0" w:rsidRDefault="007D0EEC" w:rsidP="00AD64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причин, факторов и условий, способствующих нарушениям об</w:t>
      </w: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зательных требований, разработка мероприятий, направленных на устранение нарушений обязательных требований; </w:t>
      </w:r>
    </w:p>
    <w:p w:rsidR="007D0EEC" w:rsidRPr="00AD64D0" w:rsidRDefault="007D0EEC" w:rsidP="00AD64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одинакового понимания обязательных требований у всех учас</w:t>
      </w:r>
      <w:r w:rsidR="002520E0"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 контрольной деятельности</w:t>
      </w:r>
      <w:r w:rsidR="009F3C43" w:rsidRPr="00AD64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64D0" w:rsidRPr="00AD64D0" w:rsidRDefault="00AD64D0" w:rsidP="00AD64D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5085" w:rsidRPr="00AD64D0" w:rsidRDefault="00A16EB2" w:rsidP="00AD64D0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D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25085" w:rsidRPr="00AD64D0">
        <w:rPr>
          <w:rFonts w:ascii="Times New Roman" w:eastAsia="Times New Roman" w:hAnsi="Times New Roman" w:cs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2551"/>
        <w:gridCol w:w="2268"/>
      </w:tblGrid>
      <w:tr w:rsidR="00825085" w:rsidRPr="00AD64D0" w:rsidTr="00AD64D0">
        <w:tc>
          <w:tcPr>
            <w:tcW w:w="709" w:type="dxa"/>
            <w:vAlign w:val="center"/>
          </w:tcPr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962" w:type="dxa"/>
            <w:vAlign w:val="center"/>
          </w:tcPr>
          <w:p w:rsidR="00825085" w:rsidRPr="00AD64D0" w:rsidRDefault="00825085" w:rsidP="00AD64D0">
            <w:pPr>
              <w:pStyle w:val="a5"/>
              <w:ind w:left="-108"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825085" w:rsidRPr="00AD64D0" w:rsidRDefault="00825085" w:rsidP="00AD64D0">
            <w:pPr>
              <w:pStyle w:val="a5"/>
              <w:ind w:left="-108"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</w:t>
            </w:r>
            <w:proofErr w:type="spellEnd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64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периодичность</w:t>
            </w:r>
            <w:proofErr w:type="spellEnd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64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825085" w:rsidRPr="00AD64D0" w:rsidRDefault="00825085" w:rsidP="00AD64D0">
            <w:pPr>
              <w:pStyle w:val="a5"/>
              <w:ind w:left="-108"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Ответственный исполнитель</w:t>
            </w:r>
          </w:p>
        </w:tc>
      </w:tr>
      <w:tr w:rsidR="00825085" w:rsidRPr="00AD64D0" w:rsidTr="00AD64D0">
        <w:tc>
          <w:tcPr>
            <w:tcW w:w="10490" w:type="dxa"/>
            <w:gridSpan w:val="4"/>
            <w:vAlign w:val="center"/>
          </w:tcPr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825085" w:rsidRPr="00AD64D0" w:rsidTr="00AD64D0">
        <w:tc>
          <w:tcPr>
            <w:tcW w:w="709" w:type="dxa"/>
          </w:tcPr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2" w:type="dxa"/>
          </w:tcPr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Актуализация и размещение в сети «Интернет» на официальном сайте 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Нижнека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района: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а) перечня нормативных правовых 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тов, содержащих обязательные треб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вания, оценка соблюдения которых осуществляется в рамках муниципал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ного контроля 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трическом транспорте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б) материалов, информационных п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сем, руководств по соблюдению обяз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тельных требований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в) перечня индикаторов риска наруш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ния обязательных требований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г) программы профилактики рисков причинения вреда (ущерба) охраня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мым законом ценностям</w:t>
            </w:r>
          </w:p>
        </w:tc>
        <w:tc>
          <w:tcPr>
            <w:tcW w:w="2551" w:type="dxa"/>
          </w:tcPr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бочих дней с м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мента изменения действующего з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конодательства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AD64D0" w:rsidRDefault="00AD64D0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10 р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бочих дней после их утверждения</w:t>
            </w:r>
          </w:p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25 д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кабря предш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ствующего года</w:t>
            </w:r>
          </w:p>
        </w:tc>
        <w:tc>
          <w:tcPr>
            <w:tcW w:w="2268" w:type="dxa"/>
          </w:tcPr>
          <w:p w:rsid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825085" w:rsidRP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перевозок и транспорта </w:t>
            </w:r>
          </w:p>
        </w:tc>
      </w:tr>
      <w:tr w:rsidR="002520E0" w:rsidRPr="00AD64D0" w:rsidTr="00AD64D0">
        <w:tc>
          <w:tcPr>
            <w:tcW w:w="10490" w:type="dxa"/>
            <w:gridSpan w:val="4"/>
          </w:tcPr>
          <w:p w:rsidR="002520E0" w:rsidRPr="00AD64D0" w:rsidRDefault="002520E0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2. Обобщение правоприменительной практики</w:t>
            </w:r>
          </w:p>
        </w:tc>
      </w:tr>
      <w:tr w:rsidR="002520E0" w:rsidRPr="00AD64D0" w:rsidTr="00AD64D0">
        <w:tc>
          <w:tcPr>
            <w:tcW w:w="709" w:type="dxa"/>
          </w:tcPr>
          <w:p w:rsidR="002520E0" w:rsidRPr="00AD64D0" w:rsidRDefault="002520E0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62" w:type="dxa"/>
          </w:tcPr>
          <w:p w:rsidR="002520E0" w:rsidRPr="00AD64D0" w:rsidRDefault="0072103B" w:rsidP="00AD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доклада </w:t>
            </w:r>
            <w:proofErr w:type="gramStart"/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обобщени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воприменительной практики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соде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жащ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обобщения прав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применительной практики контрольн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20E0"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го (надзорного) органа </w:t>
            </w:r>
          </w:p>
        </w:tc>
        <w:tc>
          <w:tcPr>
            <w:tcW w:w="2551" w:type="dxa"/>
          </w:tcPr>
          <w:p w:rsidR="0072103B" w:rsidRPr="00AD64D0" w:rsidRDefault="0072103B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1 раз в год</w:t>
            </w:r>
          </w:p>
          <w:p w:rsidR="002520E0" w:rsidRPr="00AD64D0" w:rsidRDefault="002520E0" w:rsidP="00AD64D0">
            <w:pPr>
              <w:pStyle w:val="a5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2520E0" w:rsidRP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общественных перевозок и транспорта</w:t>
            </w:r>
          </w:p>
        </w:tc>
      </w:tr>
      <w:tr w:rsidR="00825085" w:rsidRPr="00AD64D0" w:rsidTr="00AD64D0">
        <w:tc>
          <w:tcPr>
            <w:tcW w:w="10490" w:type="dxa"/>
            <w:gridSpan w:val="4"/>
            <w:vAlign w:val="center"/>
          </w:tcPr>
          <w:p w:rsidR="00825085" w:rsidRPr="00AD64D0" w:rsidRDefault="002520E0" w:rsidP="00AD64D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5085" w:rsidRPr="00AD64D0">
              <w:rPr>
                <w:rFonts w:ascii="Times New Roman" w:hAnsi="Times New Roman" w:cs="Times New Roman"/>
                <w:sz w:val="28"/>
                <w:szCs w:val="28"/>
              </w:rPr>
              <w:t>. Объявление предостережения</w:t>
            </w:r>
          </w:p>
        </w:tc>
      </w:tr>
      <w:tr w:rsidR="00825085" w:rsidRPr="00AD64D0" w:rsidTr="00AD64D0">
        <w:tc>
          <w:tcPr>
            <w:tcW w:w="709" w:type="dxa"/>
          </w:tcPr>
          <w:p w:rsidR="00825085" w:rsidRPr="00AD64D0" w:rsidRDefault="002520E0" w:rsidP="00AD64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5085" w:rsidRPr="00AD64D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962" w:type="dxa"/>
          </w:tcPr>
          <w:p w:rsidR="00825085" w:rsidRPr="00AD64D0" w:rsidRDefault="00825085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Выдача контролируемому лицу пред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стережения о недопустимости нар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шений обязательных требований при осуществлении деятельности</w:t>
            </w:r>
          </w:p>
        </w:tc>
        <w:tc>
          <w:tcPr>
            <w:tcW w:w="2551" w:type="dxa"/>
          </w:tcPr>
          <w:p w:rsidR="00825085" w:rsidRPr="00AD64D0" w:rsidRDefault="00825085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 принятии р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шения должнос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</w:t>
            </w:r>
            <w:r w:rsidRPr="00AD64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ными лицами, уполномоченными на осуществление муниципального контроля 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мобильном тран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порте, городском наземном электр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ческом транспорте</w:t>
            </w:r>
            <w:r w:rsidR="00B44628" w:rsidRPr="00AD64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825085" w:rsidRP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общественных перевозок и транспорта</w:t>
            </w:r>
          </w:p>
        </w:tc>
      </w:tr>
      <w:tr w:rsidR="00B44628" w:rsidRPr="00AD64D0" w:rsidTr="00AD64D0">
        <w:tc>
          <w:tcPr>
            <w:tcW w:w="10490" w:type="dxa"/>
            <w:gridSpan w:val="4"/>
          </w:tcPr>
          <w:p w:rsidR="00B44628" w:rsidRPr="00AD64D0" w:rsidRDefault="002520E0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44628" w:rsidRPr="00AD64D0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B44628" w:rsidRPr="00AD64D0" w:rsidTr="00AD64D0">
        <w:tc>
          <w:tcPr>
            <w:tcW w:w="709" w:type="dxa"/>
          </w:tcPr>
          <w:p w:rsidR="00B44628" w:rsidRPr="00AD64D0" w:rsidRDefault="002520E0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4628" w:rsidRPr="00AD64D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962" w:type="dxa"/>
          </w:tcPr>
          <w:p w:rsidR="00B44628" w:rsidRPr="00AD64D0" w:rsidRDefault="00B44628" w:rsidP="00AD64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представителей по вопросам, связанным с организацией и осущест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лением муниципального контроля на автомобильном транспорте, городском наземном электрическом транспорте. </w:t>
            </w:r>
          </w:p>
        </w:tc>
        <w:tc>
          <w:tcPr>
            <w:tcW w:w="2551" w:type="dxa"/>
          </w:tcPr>
          <w:p w:rsidR="00AD64D0" w:rsidRDefault="00B44628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</w:t>
            </w:r>
          </w:p>
          <w:p w:rsidR="00B44628" w:rsidRPr="00AD64D0" w:rsidRDefault="00B44628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в форме </w:t>
            </w:r>
            <w:proofErr w:type="gramStart"/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устных</w:t>
            </w:r>
            <w:proofErr w:type="gramEnd"/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B44628" w:rsidRPr="00AD64D0" w:rsidRDefault="00B44628" w:rsidP="00AD64D0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письменных раз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яснений</w:t>
            </w:r>
          </w:p>
        </w:tc>
        <w:tc>
          <w:tcPr>
            <w:tcW w:w="2268" w:type="dxa"/>
          </w:tcPr>
          <w:p w:rsid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B44628" w:rsidRP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общественных перевозок и транспорта</w:t>
            </w:r>
          </w:p>
        </w:tc>
      </w:tr>
      <w:tr w:rsidR="00B44628" w:rsidRPr="00AD64D0" w:rsidTr="00AD64D0">
        <w:tc>
          <w:tcPr>
            <w:tcW w:w="10490" w:type="dxa"/>
            <w:gridSpan w:val="4"/>
          </w:tcPr>
          <w:p w:rsidR="00B44628" w:rsidRPr="00AD64D0" w:rsidRDefault="002520E0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628" w:rsidRPr="00AD64D0">
              <w:rPr>
                <w:rFonts w:ascii="Times New Roman" w:hAnsi="Times New Roman" w:cs="Times New Roman"/>
                <w:sz w:val="28"/>
                <w:szCs w:val="28"/>
              </w:rPr>
              <w:t>. Профилактический визит</w:t>
            </w:r>
          </w:p>
        </w:tc>
      </w:tr>
      <w:tr w:rsidR="00B44628" w:rsidRPr="00AD64D0" w:rsidTr="00AD64D0">
        <w:tc>
          <w:tcPr>
            <w:tcW w:w="709" w:type="dxa"/>
          </w:tcPr>
          <w:p w:rsidR="00B44628" w:rsidRPr="00AD64D0" w:rsidRDefault="002520E0" w:rsidP="00AD64D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44628" w:rsidRPr="00AD64D0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62" w:type="dxa"/>
          </w:tcPr>
          <w:p w:rsidR="00B44628" w:rsidRPr="00AD64D0" w:rsidRDefault="00B44628" w:rsidP="00AD64D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месту осуществления деятельности контр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лируемого лица либо путем использ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вания видеоконференц-связи</w:t>
            </w:r>
          </w:p>
        </w:tc>
        <w:tc>
          <w:tcPr>
            <w:tcW w:w="2551" w:type="dxa"/>
          </w:tcPr>
          <w:p w:rsidR="00AD64D0" w:rsidRDefault="00B44628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месту осуществления д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ятельности ко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тролируемого лица либо путем </w:t>
            </w:r>
          </w:p>
          <w:p w:rsidR="00AD64D0" w:rsidRDefault="00B44628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:rsidR="00B44628" w:rsidRPr="00AD64D0" w:rsidRDefault="00B44628" w:rsidP="00AD64D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 видеоконференц-связи</w:t>
            </w:r>
          </w:p>
        </w:tc>
        <w:tc>
          <w:tcPr>
            <w:tcW w:w="2268" w:type="dxa"/>
          </w:tcPr>
          <w:p w:rsidR="00AD64D0" w:rsidRDefault="0072103B" w:rsidP="00A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B44628" w:rsidRPr="00AD64D0" w:rsidRDefault="0072103B" w:rsidP="00AD64D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D0">
              <w:rPr>
                <w:rFonts w:ascii="Times New Roman" w:hAnsi="Times New Roman" w:cs="Times New Roman"/>
                <w:sz w:val="28"/>
                <w:szCs w:val="28"/>
              </w:rPr>
              <w:t>общественных перевозок и транспорта</w:t>
            </w:r>
          </w:p>
        </w:tc>
      </w:tr>
    </w:tbl>
    <w:p w:rsidR="00825085" w:rsidRPr="00AD64D0" w:rsidRDefault="00825085" w:rsidP="00AD64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5085" w:rsidRPr="00AD64D0" w:rsidRDefault="00825085" w:rsidP="00AD64D0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B44628" w:rsidRPr="00AD64D0" w:rsidRDefault="00A16EB2" w:rsidP="00AD64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4</w:t>
      </w:r>
      <w:r w:rsidR="00B44628" w:rsidRPr="00AD64D0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 программы профилактики рисков причинения вреда (ущерба)</w:t>
      </w:r>
    </w:p>
    <w:p w:rsidR="00B44628" w:rsidRPr="00AD64D0" w:rsidRDefault="00B44628" w:rsidP="00AD64D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B44628" w:rsidRPr="00AD64D0" w:rsidRDefault="00B44628" w:rsidP="00AD64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уменьшени</w:t>
      </w:r>
      <w:r w:rsidR="0072103B" w:rsidRPr="00AD64D0">
        <w:rPr>
          <w:rFonts w:ascii="Times New Roman" w:hAnsi="Times New Roman" w:cs="Times New Roman"/>
          <w:sz w:val="28"/>
          <w:szCs w:val="28"/>
        </w:rPr>
        <w:t>ю</w:t>
      </w:r>
      <w:r w:rsidRPr="00AD64D0">
        <w:rPr>
          <w:rFonts w:ascii="Times New Roman" w:hAnsi="Times New Roman" w:cs="Times New Roman"/>
          <w:sz w:val="28"/>
          <w:szCs w:val="28"/>
        </w:rPr>
        <w:t xml:space="preserve"> общего числа нарушений обязательных требований, выявля</w:t>
      </w:r>
      <w:r w:rsidRPr="00AD64D0">
        <w:rPr>
          <w:rFonts w:ascii="Times New Roman" w:hAnsi="Times New Roman" w:cs="Times New Roman"/>
          <w:sz w:val="28"/>
          <w:szCs w:val="28"/>
        </w:rPr>
        <w:t>е</w:t>
      </w:r>
      <w:r w:rsidRPr="00AD64D0">
        <w:rPr>
          <w:rFonts w:ascii="Times New Roman" w:hAnsi="Times New Roman" w:cs="Times New Roman"/>
          <w:sz w:val="28"/>
          <w:szCs w:val="28"/>
        </w:rPr>
        <w:t>мых при проведении транспортного контроля (надзора) в отношении поднадзорных хозяйствующих субъектов;</w:t>
      </w:r>
    </w:p>
    <w:p w:rsidR="00B44628" w:rsidRPr="00AD64D0" w:rsidRDefault="00B44628" w:rsidP="00AD64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обеспечени</w:t>
      </w:r>
      <w:r w:rsidR="0072103B" w:rsidRPr="00AD64D0">
        <w:rPr>
          <w:rFonts w:ascii="Times New Roman" w:hAnsi="Times New Roman" w:cs="Times New Roman"/>
          <w:sz w:val="28"/>
          <w:szCs w:val="28"/>
        </w:rPr>
        <w:t>ю</w:t>
      </w:r>
      <w:r w:rsidRPr="00AD64D0">
        <w:rPr>
          <w:rFonts w:ascii="Times New Roman" w:hAnsi="Times New Roman" w:cs="Times New Roman"/>
          <w:sz w:val="28"/>
          <w:szCs w:val="28"/>
        </w:rPr>
        <w:t xml:space="preserve"> повышения безопасности перевозок пассажиров;</w:t>
      </w:r>
    </w:p>
    <w:p w:rsidR="00B44628" w:rsidRPr="00AD64D0" w:rsidRDefault="008E0C9D" w:rsidP="00AD64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проведени</w:t>
      </w:r>
      <w:r w:rsidR="0072103B" w:rsidRPr="00AD64D0">
        <w:rPr>
          <w:rFonts w:ascii="Times New Roman" w:hAnsi="Times New Roman" w:cs="Times New Roman"/>
          <w:sz w:val="28"/>
          <w:szCs w:val="28"/>
        </w:rPr>
        <w:t>ю</w:t>
      </w:r>
      <w:r w:rsidRPr="00AD64D0">
        <w:rPr>
          <w:rFonts w:ascii="Times New Roman" w:hAnsi="Times New Roman" w:cs="Times New Roman"/>
          <w:sz w:val="28"/>
          <w:szCs w:val="28"/>
        </w:rPr>
        <w:t xml:space="preserve"> своевременного и объективного рассмотрения обращений гра</w:t>
      </w:r>
      <w:r w:rsidRPr="00AD64D0">
        <w:rPr>
          <w:rFonts w:ascii="Times New Roman" w:hAnsi="Times New Roman" w:cs="Times New Roman"/>
          <w:sz w:val="28"/>
          <w:szCs w:val="28"/>
        </w:rPr>
        <w:t>ж</w:t>
      </w:r>
      <w:r w:rsidRPr="00AD64D0">
        <w:rPr>
          <w:rFonts w:ascii="Times New Roman" w:hAnsi="Times New Roman" w:cs="Times New Roman"/>
          <w:sz w:val="28"/>
          <w:szCs w:val="28"/>
        </w:rPr>
        <w:t>дан в отношении юридических лиц, на деятельность которых поступили обращения и принятие мер к нарушителям;</w:t>
      </w:r>
      <w:r w:rsidR="00B44628" w:rsidRPr="00AD6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628" w:rsidRPr="00AD64D0" w:rsidRDefault="00B44628" w:rsidP="00AD64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D0">
        <w:rPr>
          <w:rFonts w:ascii="Times New Roman" w:hAnsi="Times New Roman" w:cs="Times New Roman"/>
          <w:sz w:val="28"/>
          <w:szCs w:val="28"/>
        </w:rPr>
        <w:t>- повышению качества пре</w:t>
      </w:r>
      <w:r w:rsidR="00C9321C" w:rsidRPr="00AD64D0">
        <w:rPr>
          <w:rFonts w:ascii="Times New Roman" w:hAnsi="Times New Roman" w:cs="Times New Roman"/>
          <w:sz w:val="28"/>
          <w:szCs w:val="28"/>
        </w:rPr>
        <w:t>доставляемых транспортных услуг.</w:t>
      </w:r>
    </w:p>
    <w:p w:rsidR="00C9321C" w:rsidRPr="00AD64D0" w:rsidRDefault="00C9321C" w:rsidP="00AD64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9321C" w:rsidRPr="00AD64D0" w:rsidRDefault="00C9321C" w:rsidP="00AD64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0EEC" w:rsidRPr="00AD64D0" w:rsidRDefault="007D0EEC" w:rsidP="00AD64D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D0EEC" w:rsidRPr="00AD64D0" w:rsidSect="00AD64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ABD"/>
    <w:multiLevelType w:val="hybridMultilevel"/>
    <w:tmpl w:val="22CE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3405"/>
    <w:multiLevelType w:val="hybridMultilevel"/>
    <w:tmpl w:val="1B9ECADA"/>
    <w:lvl w:ilvl="0" w:tplc="985C850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4">
    <w:nsid w:val="657D4B24"/>
    <w:multiLevelType w:val="hybridMultilevel"/>
    <w:tmpl w:val="3C8C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F606FB"/>
    <w:multiLevelType w:val="multilevel"/>
    <w:tmpl w:val="ABE60084"/>
    <w:lvl w:ilvl="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8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C7"/>
    <w:rsid w:val="00072722"/>
    <w:rsid w:val="001146F4"/>
    <w:rsid w:val="00146058"/>
    <w:rsid w:val="001B754D"/>
    <w:rsid w:val="002520E0"/>
    <w:rsid w:val="00312F9F"/>
    <w:rsid w:val="00327C4C"/>
    <w:rsid w:val="003A0BD0"/>
    <w:rsid w:val="004E33C4"/>
    <w:rsid w:val="0072103B"/>
    <w:rsid w:val="007D0EEC"/>
    <w:rsid w:val="00825085"/>
    <w:rsid w:val="008B25D6"/>
    <w:rsid w:val="008C0D12"/>
    <w:rsid w:val="008C1BF5"/>
    <w:rsid w:val="008E0C9D"/>
    <w:rsid w:val="0099707F"/>
    <w:rsid w:val="009D7E56"/>
    <w:rsid w:val="009F3C43"/>
    <w:rsid w:val="009F77D3"/>
    <w:rsid w:val="00A16EB2"/>
    <w:rsid w:val="00A577F9"/>
    <w:rsid w:val="00AB31C7"/>
    <w:rsid w:val="00AD64D0"/>
    <w:rsid w:val="00B43460"/>
    <w:rsid w:val="00B44628"/>
    <w:rsid w:val="00C9321C"/>
    <w:rsid w:val="00D14E13"/>
    <w:rsid w:val="00D2295D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E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F77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E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7D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0EE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5D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9F77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7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77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9F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9F77D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E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F77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E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7D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0EE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5D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9F77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7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77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9F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9F77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User</cp:lastModifiedBy>
  <cp:revision>3</cp:revision>
  <cp:lastPrinted>2021-12-20T09:36:00Z</cp:lastPrinted>
  <dcterms:created xsi:type="dcterms:W3CDTF">2021-12-20T09:36:00Z</dcterms:created>
  <dcterms:modified xsi:type="dcterms:W3CDTF">2021-12-23T08:25:00Z</dcterms:modified>
</cp:coreProperties>
</file>