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DA3CA2" w:rsidRPr="00807621" w:rsidTr="00B33342">
        <w:trPr>
          <w:trHeight w:val="1275"/>
        </w:trPr>
        <w:tc>
          <w:tcPr>
            <w:tcW w:w="4253" w:type="dxa"/>
          </w:tcPr>
          <w:p w:rsidR="00DA3CA2" w:rsidRDefault="00DA3CA2" w:rsidP="00B33342">
            <w:pPr>
              <w:ind w:left="-108" w:right="-108"/>
              <w:jc w:val="center"/>
              <w:rPr>
                <w:sz w:val="17"/>
                <w:szCs w:val="17"/>
              </w:rPr>
            </w:pPr>
          </w:p>
          <w:p w:rsidR="00DA3CA2" w:rsidRPr="00210687" w:rsidRDefault="00DA3CA2" w:rsidP="00B33342">
            <w:pPr>
              <w:spacing w:line="276" w:lineRule="auto"/>
              <w:ind w:left="-108" w:right="-108"/>
              <w:jc w:val="center"/>
              <w:rPr>
                <w:sz w:val="17"/>
                <w:szCs w:val="17"/>
              </w:rPr>
            </w:pPr>
          </w:p>
          <w:p w:rsidR="00DA3CA2" w:rsidRPr="00210687" w:rsidRDefault="00DA3CA2" w:rsidP="00B3334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210687">
              <w:rPr>
                <w:sz w:val="17"/>
                <w:szCs w:val="17"/>
              </w:rPr>
              <w:t>ИСПОЛНИТЕЛЬН</w:t>
            </w:r>
            <w:r>
              <w:rPr>
                <w:sz w:val="17"/>
                <w:szCs w:val="17"/>
              </w:rPr>
              <w:t>ЫЙ</w:t>
            </w:r>
            <w:r w:rsidRPr="00210687">
              <w:rPr>
                <w:sz w:val="17"/>
                <w:szCs w:val="17"/>
              </w:rPr>
              <w:t xml:space="preserve"> КОМИТЕТ</w:t>
            </w:r>
          </w:p>
          <w:p w:rsidR="00DA3CA2" w:rsidRPr="00210687" w:rsidRDefault="00DA3CA2" w:rsidP="00B3334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210687">
              <w:rPr>
                <w:sz w:val="17"/>
                <w:szCs w:val="17"/>
              </w:rPr>
              <w:t>ГОРОДА НИЖНЕКАМСКА</w:t>
            </w:r>
          </w:p>
          <w:p w:rsidR="00DA3CA2" w:rsidRPr="00210687" w:rsidRDefault="00DA3CA2" w:rsidP="00B3334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210687">
              <w:rPr>
                <w:sz w:val="17"/>
                <w:szCs w:val="17"/>
              </w:rPr>
              <w:t>РЕСПУБЛИКИ ТАТАРСТАН</w:t>
            </w:r>
          </w:p>
          <w:p w:rsidR="00DA3CA2" w:rsidRDefault="00DA3CA2" w:rsidP="00B33342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DA3CA2" w:rsidRPr="002C1E3E" w:rsidRDefault="00DA3CA2" w:rsidP="00B33342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DA3CA2" w:rsidRPr="00807621" w:rsidRDefault="00DA3CA2" w:rsidP="00B33342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DA3CA2" w:rsidRDefault="00DA3CA2" w:rsidP="00B33342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61BF0BA8" wp14:editId="792F1DFE">
                  <wp:extent cx="787400" cy="962025"/>
                  <wp:effectExtent l="0" t="0" r="0" b="9525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DA3CA2" w:rsidRDefault="00DA3CA2" w:rsidP="00B33342">
            <w:pPr>
              <w:jc w:val="center"/>
              <w:rPr>
                <w:b/>
                <w:sz w:val="17"/>
                <w:szCs w:val="17"/>
              </w:rPr>
            </w:pPr>
          </w:p>
          <w:p w:rsidR="00DA3CA2" w:rsidRPr="000E4023" w:rsidRDefault="00DA3CA2" w:rsidP="00B33342">
            <w:pPr>
              <w:spacing w:line="276" w:lineRule="auto"/>
              <w:jc w:val="center"/>
              <w:rPr>
                <w:b/>
                <w:sz w:val="17"/>
                <w:szCs w:val="17"/>
              </w:rPr>
            </w:pPr>
          </w:p>
          <w:p w:rsidR="00DA3CA2" w:rsidRPr="00210687" w:rsidRDefault="00DA3CA2" w:rsidP="00B33342">
            <w:pPr>
              <w:jc w:val="center"/>
              <w:rPr>
                <w:sz w:val="17"/>
                <w:szCs w:val="17"/>
                <w:lang w:val="tt-RU"/>
              </w:rPr>
            </w:pPr>
            <w:r w:rsidRPr="00210687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DA3CA2" w:rsidRPr="00210687" w:rsidRDefault="00DA3CA2" w:rsidP="00B33342">
            <w:pPr>
              <w:jc w:val="center"/>
              <w:rPr>
                <w:sz w:val="17"/>
                <w:szCs w:val="17"/>
                <w:lang w:val="tt-RU"/>
              </w:rPr>
            </w:pPr>
            <w:r w:rsidRPr="00210687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DA3CA2" w:rsidRPr="00210687" w:rsidRDefault="00DA3CA2" w:rsidP="00B33342">
            <w:pPr>
              <w:jc w:val="center"/>
              <w:rPr>
                <w:bCs/>
                <w:sz w:val="17"/>
                <w:szCs w:val="17"/>
                <w:lang w:val="tt-RU"/>
              </w:rPr>
            </w:pPr>
            <w:r w:rsidRPr="00210687">
              <w:rPr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DA3CA2" w:rsidRDefault="00DA3CA2" w:rsidP="00B33342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DA3CA2" w:rsidRPr="00807621" w:rsidRDefault="00DA3CA2" w:rsidP="00B33342">
            <w:pPr>
              <w:jc w:val="center"/>
              <w:rPr>
                <w:sz w:val="15"/>
                <w:szCs w:val="15"/>
                <w:lang w:val="tt-RU"/>
              </w:rPr>
            </w:pPr>
          </w:p>
        </w:tc>
      </w:tr>
      <w:tr w:rsidR="00DA3CA2" w:rsidRPr="000E4023" w:rsidTr="00B33342">
        <w:trPr>
          <w:trHeight w:val="130"/>
        </w:trPr>
        <w:tc>
          <w:tcPr>
            <w:tcW w:w="4253" w:type="dxa"/>
          </w:tcPr>
          <w:p w:rsidR="00DA3CA2" w:rsidRPr="00210687" w:rsidRDefault="00DA3CA2" w:rsidP="00B3334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</w:t>
            </w:r>
            <w:r>
              <w:rPr>
                <w:sz w:val="15"/>
                <w:szCs w:val="15"/>
              </w:rPr>
              <w:t>423570</w:t>
            </w:r>
          </w:p>
        </w:tc>
        <w:tc>
          <w:tcPr>
            <w:tcW w:w="1276" w:type="dxa"/>
            <w:gridSpan w:val="2"/>
            <w:vMerge/>
          </w:tcPr>
          <w:p w:rsidR="00DA3CA2" w:rsidRDefault="00DA3CA2" w:rsidP="00B33342">
            <w:pPr>
              <w:ind w:left="-108"/>
              <w:jc w:val="center"/>
              <w:rPr>
                <w:sz w:val="20"/>
              </w:rPr>
            </w:pPr>
          </w:p>
        </w:tc>
        <w:tc>
          <w:tcPr>
            <w:tcW w:w="4110" w:type="dxa"/>
          </w:tcPr>
          <w:p w:rsidR="00DA3CA2" w:rsidRPr="000E4023" w:rsidRDefault="00DA3CA2" w:rsidP="00B33342">
            <w:pPr>
              <w:jc w:val="center"/>
              <w:rPr>
                <w:b/>
                <w:sz w:val="17"/>
                <w:szCs w:val="17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DA3CA2" w:rsidRPr="00F235B6" w:rsidTr="00B33342">
        <w:trPr>
          <w:trHeight w:val="1126"/>
        </w:trPr>
        <w:tc>
          <w:tcPr>
            <w:tcW w:w="5246" w:type="dxa"/>
            <w:gridSpan w:val="2"/>
          </w:tcPr>
          <w:p w:rsidR="00DA3CA2" w:rsidRPr="00F235B6" w:rsidRDefault="00DA3CA2" w:rsidP="00B33342">
            <w:pPr>
              <w:ind w:right="-143"/>
              <w:rPr>
                <w:b/>
                <w:sz w:val="27"/>
                <w:lang w:val="tt-RU"/>
              </w:rPr>
            </w:pPr>
            <w:r w:rsidRPr="00F235B6">
              <w:rPr>
                <w:b/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C7BDD24" wp14:editId="66DFAF54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F235B6">
              <w:rPr>
                <w:b/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E561018" wp14:editId="36B435BF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F235B6">
              <w:rPr>
                <w:b/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A7EAFBD" wp14:editId="2928A6D9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DA3CA2" w:rsidRPr="00F235B6" w:rsidRDefault="00DA3CA2" w:rsidP="00B33342">
            <w:pPr>
              <w:rPr>
                <w:sz w:val="16"/>
                <w:szCs w:val="16"/>
                <w:lang w:val="tt-RU"/>
              </w:rPr>
            </w:pPr>
            <w:r w:rsidRPr="00F235B6">
              <w:rPr>
                <w:b/>
                <w:sz w:val="20"/>
                <w:szCs w:val="20"/>
                <w:lang w:val="tt-RU"/>
              </w:rPr>
              <w:t xml:space="preserve">                       </w:t>
            </w:r>
            <w:r w:rsidRPr="00F235B6">
              <w:rPr>
                <w:sz w:val="16"/>
                <w:szCs w:val="16"/>
                <w:lang w:val="tt-RU"/>
              </w:rPr>
              <w:t xml:space="preserve">РАСПОРЯЖЕНИЕ      </w:t>
            </w:r>
          </w:p>
          <w:p w:rsidR="00DA3CA2" w:rsidRPr="00F235B6" w:rsidRDefault="00DA3CA2" w:rsidP="00B33342">
            <w:pPr>
              <w:rPr>
                <w:b/>
                <w:sz w:val="20"/>
                <w:szCs w:val="20"/>
                <w:lang w:val="tt-RU"/>
              </w:rPr>
            </w:pPr>
          </w:p>
          <w:p w:rsidR="00DA3CA2" w:rsidRPr="00F235B6" w:rsidRDefault="00DA3CA2" w:rsidP="00DA3CA2">
            <w:pPr>
              <w:rPr>
                <w:sz w:val="27"/>
                <w:lang w:val="tt-RU"/>
              </w:rPr>
            </w:pPr>
            <w:r w:rsidRPr="00F235B6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279</w:t>
            </w:r>
            <w:r w:rsidRPr="00F235B6">
              <w:rPr>
                <w:sz w:val="20"/>
                <w:szCs w:val="20"/>
                <w:lang w:val="tt-RU"/>
              </w:rPr>
              <w:t xml:space="preserve">        </w:t>
            </w:r>
          </w:p>
        </w:tc>
        <w:tc>
          <w:tcPr>
            <w:tcW w:w="4393" w:type="dxa"/>
            <w:gridSpan w:val="2"/>
          </w:tcPr>
          <w:p w:rsidR="00DA3CA2" w:rsidRPr="00F235B6" w:rsidRDefault="00DA3CA2" w:rsidP="00B33342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DA3CA2" w:rsidRPr="00F235B6" w:rsidRDefault="00DA3CA2" w:rsidP="00B33342">
            <w:pPr>
              <w:ind w:firstLine="1236"/>
              <w:jc w:val="both"/>
              <w:rPr>
                <w:sz w:val="16"/>
                <w:szCs w:val="16"/>
                <w:lang w:val="tt-RU"/>
              </w:rPr>
            </w:pPr>
            <w:r w:rsidRPr="00F235B6">
              <w:rPr>
                <w:b/>
                <w:sz w:val="27"/>
                <w:lang w:val="tt-RU"/>
              </w:rPr>
              <w:t xml:space="preserve">        </w:t>
            </w:r>
            <w:r w:rsidRPr="00F235B6">
              <w:rPr>
                <w:sz w:val="27"/>
                <w:lang w:val="tt-RU"/>
              </w:rPr>
              <w:t xml:space="preserve"> </w:t>
            </w:r>
            <w:r w:rsidRPr="00F235B6">
              <w:rPr>
                <w:sz w:val="16"/>
                <w:szCs w:val="16"/>
                <w:lang w:val="tt-RU"/>
              </w:rPr>
              <w:t xml:space="preserve">БОЕРЫК          </w:t>
            </w:r>
          </w:p>
          <w:p w:rsidR="00DA3CA2" w:rsidRPr="00F235B6" w:rsidRDefault="00DA3CA2" w:rsidP="00B33342">
            <w:pPr>
              <w:ind w:firstLine="1236"/>
              <w:jc w:val="right"/>
              <w:rPr>
                <w:b/>
                <w:lang w:val="tt-RU"/>
              </w:rPr>
            </w:pPr>
          </w:p>
          <w:p w:rsidR="00DA3CA2" w:rsidRPr="00F235B6" w:rsidRDefault="00DA3CA2" w:rsidP="00DA3CA2">
            <w:pPr>
              <w:tabs>
                <w:tab w:val="left" w:pos="1690"/>
              </w:tabs>
              <w:ind w:firstLine="1236"/>
              <w:jc w:val="both"/>
              <w:rPr>
                <w:sz w:val="20"/>
                <w:szCs w:val="20"/>
                <w:lang w:val="tt-RU"/>
              </w:rPr>
            </w:pPr>
            <w:r>
              <w:rPr>
                <w:b/>
                <w:sz w:val="27"/>
                <w:lang w:val="tt-RU"/>
              </w:rPr>
              <w:tab/>
              <w:t xml:space="preserve">    </w:t>
            </w:r>
            <w:r w:rsidRPr="00F235B6">
              <w:rPr>
                <w:b/>
                <w:sz w:val="27"/>
                <w:lang w:val="tt-RU"/>
              </w:rPr>
              <w:t xml:space="preserve">  </w:t>
            </w:r>
            <w:r>
              <w:rPr>
                <w:sz w:val="20"/>
                <w:szCs w:val="20"/>
                <w:lang w:val="tt-RU"/>
              </w:rPr>
              <w:t>11 нче сентябрь</w:t>
            </w:r>
            <w:r w:rsidRPr="00F235B6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F235B6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</w:tc>
      </w:tr>
    </w:tbl>
    <w:p w:rsidR="00DA3CA2" w:rsidRDefault="00DA3CA2"/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E177D1" w:rsidRPr="00AB185D" w:rsidTr="00DA3CA2">
        <w:trPr>
          <w:trHeight w:val="540"/>
        </w:trPr>
        <w:tc>
          <w:tcPr>
            <w:tcW w:w="9639" w:type="dxa"/>
          </w:tcPr>
          <w:p w:rsidR="0074697A" w:rsidRDefault="004528BD" w:rsidP="00DA3CA2">
            <w:pPr>
              <w:tabs>
                <w:tab w:val="left" w:pos="10064"/>
              </w:tabs>
              <w:jc w:val="center"/>
              <w:rPr>
                <w:sz w:val="28"/>
                <w:szCs w:val="28"/>
              </w:rPr>
            </w:pPr>
            <w:proofErr w:type="spellStart"/>
            <w:r w:rsidRPr="004528BD">
              <w:rPr>
                <w:sz w:val="28"/>
                <w:szCs w:val="28"/>
              </w:rPr>
              <w:t>Түбән</w:t>
            </w:r>
            <w:proofErr w:type="spellEnd"/>
            <w:r w:rsidRPr="004528BD">
              <w:rPr>
                <w:sz w:val="28"/>
                <w:szCs w:val="28"/>
              </w:rPr>
              <w:t xml:space="preserve"> Кама </w:t>
            </w:r>
            <w:proofErr w:type="spellStart"/>
            <w:r w:rsidRPr="004528BD">
              <w:rPr>
                <w:sz w:val="28"/>
                <w:szCs w:val="28"/>
              </w:rPr>
              <w:t>муниципаль</w:t>
            </w:r>
            <w:proofErr w:type="spellEnd"/>
            <w:r w:rsidRPr="004528BD">
              <w:rPr>
                <w:sz w:val="28"/>
                <w:szCs w:val="28"/>
              </w:rPr>
              <w:t xml:space="preserve"> районы </w:t>
            </w:r>
            <w:r>
              <w:rPr>
                <w:sz w:val="28"/>
                <w:szCs w:val="28"/>
              </w:rPr>
              <w:t>«</w:t>
            </w:r>
            <w:proofErr w:type="spellStart"/>
            <w:r w:rsidRPr="004528BD">
              <w:rPr>
                <w:sz w:val="28"/>
                <w:szCs w:val="28"/>
              </w:rPr>
              <w:t>Түбән</w:t>
            </w:r>
            <w:proofErr w:type="spellEnd"/>
            <w:r w:rsidRPr="004528BD">
              <w:rPr>
                <w:sz w:val="28"/>
                <w:szCs w:val="28"/>
              </w:rPr>
              <w:t xml:space="preserve"> Кама </w:t>
            </w:r>
            <w:proofErr w:type="spellStart"/>
            <w:r w:rsidRPr="004528BD">
              <w:rPr>
                <w:sz w:val="28"/>
                <w:szCs w:val="28"/>
              </w:rPr>
              <w:t>шәһәре</w:t>
            </w:r>
            <w:proofErr w:type="spellEnd"/>
            <w:r>
              <w:rPr>
                <w:sz w:val="28"/>
                <w:szCs w:val="28"/>
              </w:rPr>
              <w:t>»</w:t>
            </w:r>
            <w:r w:rsidRPr="004528BD">
              <w:rPr>
                <w:sz w:val="28"/>
                <w:szCs w:val="28"/>
              </w:rPr>
              <w:t xml:space="preserve"> </w:t>
            </w:r>
            <w:proofErr w:type="spellStart"/>
            <w:r w:rsidRPr="004528BD">
              <w:rPr>
                <w:sz w:val="28"/>
                <w:szCs w:val="28"/>
              </w:rPr>
              <w:t>шәһә</w:t>
            </w:r>
            <w:proofErr w:type="gramStart"/>
            <w:r w:rsidRPr="004528BD">
              <w:rPr>
                <w:sz w:val="28"/>
                <w:szCs w:val="28"/>
              </w:rPr>
              <w:t>р</w:t>
            </w:r>
            <w:proofErr w:type="spellEnd"/>
            <w:proofErr w:type="gramEnd"/>
            <w:r w:rsidRPr="004528BD">
              <w:rPr>
                <w:sz w:val="28"/>
                <w:szCs w:val="28"/>
              </w:rPr>
              <w:t xml:space="preserve"> </w:t>
            </w:r>
            <w:proofErr w:type="spellStart"/>
            <w:r w:rsidRPr="004528BD">
              <w:rPr>
                <w:sz w:val="28"/>
                <w:szCs w:val="28"/>
              </w:rPr>
              <w:t>җирлеге</w:t>
            </w:r>
            <w:proofErr w:type="spellEnd"/>
            <w:r w:rsidRPr="004528BD">
              <w:rPr>
                <w:sz w:val="28"/>
                <w:szCs w:val="28"/>
              </w:rPr>
              <w:t xml:space="preserve"> </w:t>
            </w:r>
          </w:p>
          <w:p w:rsidR="0074697A" w:rsidRDefault="004528BD" w:rsidP="00DA3CA2">
            <w:pPr>
              <w:tabs>
                <w:tab w:val="left" w:pos="10064"/>
              </w:tabs>
              <w:jc w:val="center"/>
              <w:rPr>
                <w:sz w:val="28"/>
                <w:szCs w:val="28"/>
              </w:rPr>
            </w:pPr>
            <w:proofErr w:type="spellStart"/>
            <w:r w:rsidRPr="004528BD">
              <w:rPr>
                <w:sz w:val="28"/>
                <w:szCs w:val="28"/>
              </w:rPr>
              <w:t>территориясендә</w:t>
            </w:r>
            <w:proofErr w:type="spellEnd"/>
            <w:r w:rsidRPr="004528BD">
              <w:rPr>
                <w:sz w:val="28"/>
                <w:szCs w:val="28"/>
              </w:rPr>
              <w:t xml:space="preserve"> </w:t>
            </w:r>
            <w:proofErr w:type="spellStart"/>
            <w:r w:rsidRPr="004528BD">
              <w:rPr>
                <w:sz w:val="28"/>
                <w:szCs w:val="28"/>
              </w:rPr>
              <w:t>урнашкан</w:t>
            </w:r>
            <w:proofErr w:type="spellEnd"/>
            <w:r w:rsidRPr="004528BD">
              <w:rPr>
                <w:sz w:val="28"/>
                <w:szCs w:val="28"/>
              </w:rPr>
              <w:t xml:space="preserve"> </w:t>
            </w:r>
            <w:proofErr w:type="spellStart"/>
            <w:r w:rsidRPr="004528BD">
              <w:rPr>
                <w:sz w:val="28"/>
                <w:szCs w:val="28"/>
              </w:rPr>
              <w:t>җәмәгать</w:t>
            </w:r>
            <w:proofErr w:type="spellEnd"/>
            <w:r w:rsidRPr="004528BD">
              <w:rPr>
                <w:sz w:val="28"/>
                <w:szCs w:val="28"/>
              </w:rPr>
              <w:t xml:space="preserve">-вахта пассажир </w:t>
            </w:r>
            <w:proofErr w:type="spellStart"/>
            <w:r w:rsidRPr="004528BD">
              <w:rPr>
                <w:sz w:val="28"/>
                <w:szCs w:val="28"/>
              </w:rPr>
              <w:t>транспортының</w:t>
            </w:r>
            <w:proofErr w:type="spellEnd"/>
          </w:p>
          <w:p w:rsidR="00E177D1" w:rsidRPr="00AB185D" w:rsidRDefault="004528BD" w:rsidP="00DA3CA2">
            <w:pPr>
              <w:tabs>
                <w:tab w:val="left" w:pos="10064"/>
              </w:tabs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 w:rsidRPr="004528BD">
              <w:rPr>
                <w:sz w:val="28"/>
                <w:szCs w:val="28"/>
              </w:rPr>
              <w:t xml:space="preserve"> </w:t>
            </w:r>
            <w:proofErr w:type="spellStart"/>
            <w:r w:rsidRPr="004528BD">
              <w:rPr>
                <w:sz w:val="28"/>
                <w:szCs w:val="28"/>
              </w:rPr>
              <w:t>тукталыш</w:t>
            </w:r>
            <w:proofErr w:type="spellEnd"/>
            <w:r w:rsidRPr="004528BD">
              <w:rPr>
                <w:sz w:val="28"/>
                <w:szCs w:val="28"/>
              </w:rPr>
              <w:t xml:space="preserve"> </w:t>
            </w:r>
            <w:proofErr w:type="spellStart"/>
            <w:r w:rsidRPr="004528BD">
              <w:rPr>
                <w:sz w:val="28"/>
                <w:szCs w:val="28"/>
              </w:rPr>
              <w:t>п</w:t>
            </w:r>
            <w:r w:rsidRPr="004528BD">
              <w:rPr>
                <w:sz w:val="28"/>
                <w:szCs w:val="28"/>
              </w:rPr>
              <w:t>а</w:t>
            </w:r>
            <w:r w:rsidRPr="004528BD">
              <w:rPr>
                <w:sz w:val="28"/>
                <w:szCs w:val="28"/>
              </w:rPr>
              <w:t>вильонына</w:t>
            </w:r>
            <w:proofErr w:type="spellEnd"/>
            <w:r w:rsidRPr="004528BD">
              <w:rPr>
                <w:sz w:val="28"/>
                <w:szCs w:val="28"/>
              </w:rPr>
              <w:t xml:space="preserve"> </w:t>
            </w:r>
            <w:proofErr w:type="spellStart"/>
            <w:r w:rsidRPr="004528BD">
              <w:rPr>
                <w:sz w:val="28"/>
                <w:szCs w:val="28"/>
              </w:rPr>
              <w:t>исем</w:t>
            </w:r>
            <w:proofErr w:type="spellEnd"/>
            <w:r w:rsidRPr="004528BD">
              <w:rPr>
                <w:sz w:val="28"/>
                <w:szCs w:val="28"/>
              </w:rPr>
              <w:t xml:space="preserve"> </w:t>
            </w:r>
            <w:proofErr w:type="spellStart"/>
            <w:r w:rsidRPr="004528BD">
              <w:rPr>
                <w:sz w:val="28"/>
                <w:szCs w:val="28"/>
              </w:rPr>
              <w:t>бирү</w:t>
            </w:r>
            <w:proofErr w:type="spellEnd"/>
            <w:r w:rsidRPr="004528BD">
              <w:rPr>
                <w:sz w:val="28"/>
                <w:szCs w:val="28"/>
              </w:rPr>
              <w:t xml:space="preserve"> </w:t>
            </w:r>
            <w:proofErr w:type="spellStart"/>
            <w:r w:rsidRPr="004528BD">
              <w:rPr>
                <w:sz w:val="28"/>
                <w:szCs w:val="28"/>
              </w:rPr>
              <w:t>турында</w:t>
            </w:r>
            <w:proofErr w:type="spellEnd"/>
          </w:p>
        </w:tc>
      </w:tr>
      <w:tr w:rsidR="004528BD" w:rsidRPr="00AB185D" w:rsidTr="00DA3CA2">
        <w:trPr>
          <w:trHeight w:val="540"/>
        </w:trPr>
        <w:tc>
          <w:tcPr>
            <w:tcW w:w="9639" w:type="dxa"/>
          </w:tcPr>
          <w:p w:rsidR="004528BD" w:rsidRPr="004528BD" w:rsidRDefault="004528BD">
            <w:pPr>
              <w:tabs>
                <w:tab w:val="left" w:pos="10064"/>
              </w:tabs>
              <w:ind w:right="140"/>
              <w:jc w:val="both"/>
              <w:rPr>
                <w:sz w:val="28"/>
                <w:szCs w:val="28"/>
              </w:rPr>
            </w:pPr>
          </w:p>
        </w:tc>
      </w:tr>
    </w:tbl>
    <w:p w:rsidR="004528BD" w:rsidRDefault="004528BD" w:rsidP="00DA3CA2">
      <w:pPr>
        <w:tabs>
          <w:tab w:val="left" w:pos="4139"/>
          <w:tab w:val="left" w:pos="4195"/>
          <w:tab w:val="left" w:pos="4309"/>
        </w:tabs>
        <w:ind w:firstLine="708"/>
        <w:jc w:val="both"/>
        <w:rPr>
          <w:sz w:val="28"/>
          <w:szCs w:val="28"/>
        </w:rPr>
      </w:pPr>
      <w:r w:rsidRPr="004528BD">
        <w:rPr>
          <w:sz w:val="28"/>
          <w:szCs w:val="28"/>
        </w:rPr>
        <w:t>«Нижнекамск</w:t>
      </w:r>
      <w:r>
        <w:rPr>
          <w:sz w:val="28"/>
          <w:szCs w:val="28"/>
          <w:lang w:val="tt-RU"/>
        </w:rPr>
        <w:t>н</w:t>
      </w:r>
      <w:proofErr w:type="spellStart"/>
      <w:r w:rsidRPr="004528BD">
        <w:rPr>
          <w:sz w:val="28"/>
          <w:szCs w:val="28"/>
        </w:rPr>
        <w:t>ефтехим</w:t>
      </w:r>
      <w:proofErr w:type="spellEnd"/>
      <w:r w:rsidRPr="004528BD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ГАҖ </w:t>
      </w:r>
      <w:proofErr w:type="spellStart"/>
      <w:r>
        <w:rPr>
          <w:sz w:val="28"/>
          <w:szCs w:val="28"/>
        </w:rPr>
        <w:t>гаризасын</w:t>
      </w:r>
      <w:proofErr w:type="spellEnd"/>
      <w:r w:rsidRPr="004528BD">
        <w:rPr>
          <w:sz w:val="28"/>
          <w:szCs w:val="28"/>
        </w:rPr>
        <w:t xml:space="preserve"> (2020 </w:t>
      </w:r>
      <w:proofErr w:type="spellStart"/>
      <w:r w:rsidRPr="004528BD">
        <w:rPr>
          <w:sz w:val="28"/>
          <w:szCs w:val="28"/>
        </w:rPr>
        <w:t>елның</w:t>
      </w:r>
      <w:proofErr w:type="spellEnd"/>
      <w:r w:rsidRPr="004528BD">
        <w:rPr>
          <w:sz w:val="28"/>
          <w:szCs w:val="28"/>
        </w:rPr>
        <w:t xml:space="preserve"> 4 </w:t>
      </w:r>
      <w:proofErr w:type="spellStart"/>
      <w:r w:rsidRPr="004528BD">
        <w:rPr>
          <w:sz w:val="28"/>
          <w:szCs w:val="28"/>
        </w:rPr>
        <w:t>сентябрендәге</w:t>
      </w:r>
      <w:proofErr w:type="spellEnd"/>
      <w:r w:rsidRPr="004528BD">
        <w:rPr>
          <w:sz w:val="28"/>
          <w:szCs w:val="28"/>
        </w:rPr>
        <w:t xml:space="preserve"> </w:t>
      </w:r>
      <w:r w:rsidR="00381A15">
        <w:rPr>
          <w:sz w:val="28"/>
          <w:szCs w:val="28"/>
        </w:rPr>
        <w:t xml:space="preserve">                 </w:t>
      </w:r>
      <w:r w:rsidRPr="004528BD">
        <w:rPr>
          <w:sz w:val="28"/>
          <w:szCs w:val="28"/>
        </w:rPr>
        <w:t xml:space="preserve">35877-ИсхП </w:t>
      </w:r>
      <w:proofErr w:type="spellStart"/>
      <w:r w:rsidRPr="004528BD">
        <w:rPr>
          <w:sz w:val="28"/>
          <w:szCs w:val="28"/>
        </w:rPr>
        <w:t>номерлы</w:t>
      </w:r>
      <w:proofErr w:type="spellEnd"/>
      <w:r w:rsidRPr="004528BD">
        <w:rPr>
          <w:sz w:val="28"/>
          <w:szCs w:val="28"/>
        </w:rPr>
        <w:t xml:space="preserve">) </w:t>
      </w:r>
      <w:proofErr w:type="spellStart"/>
      <w:r w:rsidRPr="004528BD">
        <w:rPr>
          <w:sz w:val="28"/>
          <w:szCs w:val="28"/>
        </w:rPr>
        <w:t>гаризасын</w:t>
      </w:r>
      <w:proofErr w:type="spellEnd"/>
      <w:r w:rsidRPr="004528BD">
        <w:rPr>
          <w:sz w:val="28"/>
          <w:szCs w:val="28"/>
        </w:rPr>
        <w:t xml:space="preserve"> </w:t>
      </w:r>
      <w:proofErr w:type="spellStart"/>
      <w:r w:rsidRPr="004528BD">
        <w:rPr>
          <w:sz w:val="28"/>
          <w:szCs w:val="28"/>
        </w:rPr>
        <w:t>караганнан</w:t>
      </w:r>
      <w:proofErr w:type="spellEnd"/>
      <w:r w:rsidRPr="004528BD">
        <w:rPr>
          <w:sz w:val="28"/>
          <w:szCs w:val="28"/>
        </w:rPr>
        <w:t xml:space="preserve"> </w:t>
      </w:r>
      <w:proofErr w:type="spellStart"/>
      <w:proofErr w:type="gramStart"/>
      <w:r w:rsidRPr="004528BD">
        <w:rPr>
          <w:sz w:val="28"/>
          <w:szCs w:val="28"/>
        </w:rPr>
        <w:t>со</w:t>
      </w:r>
      <w:proofErr w:type="gramEnd"/>
      <w:r w:rsidRPr="004528BD">
        <w:rPr>
          <w:sz w:val="28"/>
          <w:szCs w:val="28"/>
        </w:rPr>
        <w:t>ң</w:t>
      </w:r>
      <w:proofErr w:type="spellEnd"/>
      <w:r w:rsidRPr="004528BD">
        <w:rPr>
          <w:sz w:val="28"/>
          <w:szCs w:val="28"/>
        </w:rPr>
        <w:t xml:space="preserve">, «Россия </w:t>
      </w:r>
      <w:proofErr w:type="spellStart"/>
      <w:r w:rsidRPr="004528BD">
        <w:rPr>
          <w:sz w:val="28"/>
          <w:szCs w:val="28"/>
        </w:rPr>
        <w:t>Федерациясендә</w:t>
      </w:r>
      <w:proofErr w:type="spellEnd"/>
      <w:r w:rsidRPr="004528BD">
        <w:rPr>
          <w:sz w:val="28"/>
          <w:szCs w:val="28"/>
        </w:rPr>
        <w:t xml:space="preserve"> </w:t>
      </w:r>
      <w:proofErr w:type="spellStart"/>
      <w:r w:rsidRPr="004528BD">
        <w:rPr>
          <w:sz w:val="28"/>
          <w:szCs w:val="28"/>
        </w:rPr>
        <w:t>җирле</w:t>
      </w:r>
      <w:proofErr w:type="spellEnd"/>
      <w:r w:rsidRPr="004528BD">
        <w:rPr>
          <w:sz w:val="28"/>
          <w:szCs w:val="28"/>
        </w:rPr>
        <w:t xml:space="preserve"> </w:t>
      </w:r>
      <w:proofErr w:type="spellStart"/>
      <w:r w:rsidRPr="004528BD">
        <w:rPr>
          <w:sz w:val="28"/>
          <w:szCs w:val="28"/>
        </w:rPr>
        <w:t>үзидарә</w:t>
      </w:r>
      <w:proofErr w:type="spellEnd"/>
      <w:r w:rsidRPr="004528BD">
        <w:rPr>
          <w:sz w:val="28"/>
          <w:szCs w:val="28"/>
        </w:rPr>
        <w:t xml:space="preserve"> </w:t>
      </w:r>
      <w:proofErr w:type="spellStart"/>
      <w:r w:rsidRPr="004528BD">
        <w:rPr>
          <w:sz w:val="28"/>
          <w:szCs w:val="28"/>
        </w:rPr>
        <w:t>оештыруның</w:t>
      </w:r>
      <w:proofErr w:type="spellEnd"/>
      <w:r w:rsidRPr="004528BD">
        <w:rPr>
          <w:sz w:val="28"/>
          <w:szCs w:val="28"/>
        </w:rPr>
        <w:t xml:space="preserve"> </w:t>
      </w:r>
      <w:proofErr w:type="spellStart"/>
      <w:r w:rsidRPr="004528BD">
        <w:rPr>
          <w:sz w:val="28"/>
          <w:szCs w:val="28"/>
        </w:rPr>
        <w:t>гомуми</w:t>
      </w:r>
      <w:proofErr w:type="spellEnd"/>
      <w:r w:rsidRPr="004528BD">
        <w:rPr>
          <w:sz w:val="28"/>
          <w:szCs w:val="28"/>
        </w:rPr>
        <w:t xml:space="preserve"> </w:t>
      </w:r>
      <w:proofErr w:type="spellStart"/>
      <w:r w:rsidRPr="004528BD">
        <w:rPr>
          <w:sz w:val="28"/>
          <w:szCs w:val="28"/>
        </w:rPr>
        <w:t>принциплары</w:t>
      </w:r>
      <w:proofErr w:type="spellEnd"/>
      <w:r w:rsidRPr="004528BD">
        <w:rPr>
          <w:sz w:val="28"/>
          <w:szCs w:val="28"/>
        </w:rPr>
        <w:t xml:space="preserve"> </w:t>
      </w:r>
      <w:proofErr w:type="spellStart"/>
      <w:r w:rsidRPr="004528BD">
        <w:rPr>
          <w:sz w:val="28"/>
          <w:szCs w:val="28"/>
        </w:rPr>
        <w:t>турында</w:t>
      </w:r>
      <w:proofErr w:type="spellEnd"/>
      <w:r w:rsidRPr="004528BD">
        <w:rPr>
          <w:sz w:val="28"/>
          <w:szCs w:val="28"/>
        </w:rPr>
        <w:t xml:space="preserve">» </w:t>
      </w:r>
      <w:proofErr w:type="spellStart"/>
      <w:r w:rsidRPr="004528BD">
        <w:rPr>
          <w:sz w:val="28"/>
          <w:szCs w:val="28"/>
        </w:rPr>
        <w:t>Федераль</w:t>
      </w:r>
      <w:proofErr w:type="spellEnd"/>
      <w:r w:rsidRPr="004528BD">
        <w:rPr>
          <w:sz w:val="28"/>
          <w:szCs w:val="28"/>
        </w:rPr>
        <w:t xml:space="preserve"> </w:t>
      </w:r>
      <w:proofErr w:type="spellStart"/>
      <w:r w:rsidRPr="004528BD">
        <w:rPr>
          <w:sz w:val="28"/>
          <w:szCs w:val="28"/>
        </w:rPr>
        <w:t>законга</w:t>
      </w:r>
      <w:proofErr w:type="spellEnd"/>
      <w:r w:rsidRPr="004528BD">
        <w:rPr>
          <w:sz w:val="28"/>
          <w:szCs w:val="28"/>
        </w:rPr>
        <w:t xml:space="preserve">, Россия </w:t>
      </w:r>
      <w:proofErr w:type="spellStart"/>
      <w:r w:rsidRPr="004528BD">
        <w:rPr>
          <w:sz w:val="28"/>
          <w:szCs w:val="28"/>
        </w:rPr>
        <w:t>Федерациясе</w:t>
      </w:r>
      <w:proofErr w:type="spellEnd"/>
      <w:r w:rsidRPr="004528BD">
        <w:rPr>
          <w:sz w:val="28"/>
          <w:szCs w:val="28"/>
        </w:rPr>
        <w:t xml:space="preserve"> </w:t>
      </w:r>
      <w:proofErr w:type="spellStart"/>
      <w:r w:rsidRPr="004528BD">
        <w:rPr>
          <w:sz w:val="28"/>
          <w:szCs w:val="28"/>
        </w:rPr>
        <w:t>Финанс</w:t>
      </w:r>
      <w:proofErr w:type="spellEnd"/>
      <w:r w:rsidRPr="004528BD">
        <w:rPr>
          <w:sz w:val="28"/>
          <w:szCs w:val="28"/>
        </w:rPr>
        <w:t xml:space="preserve"> </w:t>
      </w:r>
      <w:proofErr w:type="spellStart"/>
      <w:r w:rsidRPr="004528BD">
        <w:rPr>
          <w:sz w:val="28"/>
          <w:szCs w:val="28"/>
        </w:rPr>
        <w:t>министрлыгының</w:t>
      </w:r>
      <w:proofErr w:type="spellEnd"/>
      <w:r w:rsidRPr="004528BD"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У</w:t>
      </w:r>
      <w:r w:rsidRPr="004528BD">
        <w:rPr>
          <w:sz w:val="28"/>
          <w:szCs w:val="28"/>
        </w:rPr>
        <w:t>рам-юл</w:t>
      </w:r>
      <w:proofErr w:type="spellEnd"/>
      <w:r w:rsidRPr="004528BD">
        <w:rPr>
          <w:sz w:val="28"/>
          <w:szCs w:val="28"/>
        </w:rPr>
        <w:t xml:space="preserve"> </w:t>
      </w:r>
      <w:proofErr w:type="spellStart"/>
      <w:r w:rsidRPr="004528BD">
        <w:rPr>
          <w:sz w:val="28"/>
          <w:szCs w:val="28"/>
        </w:rPr>
        <w:t>челтәре</w:t>
      </w:r>
      <w:proofErr w:type="spellEnd"/>
      <w:r w:rsidRPr="004528BD">
        <w:rPr>
          <w:sz w:val="28"/>
          <w:szCs w:val="28"/>
        </w:rPr>
        <w:t xml:space="preserve"> </w:t>
      </w:r>
      <w:proofErr w:type="spellStart"/>
      <w:r w:rsidRPr="004528BD">
        <w:rPr>
          <w:sz w:val="28"/>
          <w:szCs w:val="28"/>
        </w:rPr>
        <w:t>элементлары</w:t>
      </w:r>
      <w:proofErr w:type="spellEnd"/>
      <w:r w:rsidRPr="004528BD">
        <w:rPr>
          <w:sz w:val="28"/>
          <w:szCs w:val="28"/>
        </w:rPr>
        <w:t xml:space="preserve">, адрес </w:t>
      </w:r>
      <w:proofErr w:type="spellStart"/>
      <w:r w:rsidRPr="004528BD">
        <w:rPr>
          <w:sz w:val="28"/>
          <w:szCs w:val="28"/>
        </w:rPr>
        <w:t>объектлары</w:t>
      </w:r>
      <w:proofErr w:type="spellEnd"/>
      <w:r w:rsidRPr="004528BD">
        <w:rPr>
          <w:sz w:val="28"/>
          <w:szCs w:val="28"/>
        </w:rPr>
        <w:t xml:space="preserve"> </w:t>
      </w:r>
      <w:proofErr w:type="spellStart"/>
      <w:r w:rsidRPr="004528BD">
        <w:rPr>
          <w:sz w:val="28"/>
          <w:szCs w:val="28"/>
        </w:rPr>
        <w:t>элементлары</w:t>
      </w:r>
      <w:proofErr w:type="spellEnd"/>
      <w:r w:rsidRPr="004528BD">
        <w:rPr>
          <w:sz w:val="28"/>
          <w:szCs w:val="28"/>
        </w:rPr>
        <w:t xml:space="preserve">, </w:t>
      </w:r>
      <w:proofErr w:type="spellStart"/>
      <w:r w:rsidRPr="004528BD">
        <w:rPr>
          <w:sz w:val="28"/>
          <w:szCs w:val="28"/>
        </w:rPr>
        <w:t>биналар</w:t>
      </w:r>
      <w:proofErr w:type="spellEnd"/>
      <w:r w:rsidRPr="004528BD">
        <w:rPr>
          <w:sz w:val="28"/>
          <w:szCs w:val="28"/>
        </w:rPr>
        <w:t xml:space="preserve"> (</w:t>
      </w:r>
      <w:proofErr w:type="spellStart"/>
      <w:r w:rsidRPr="004528BD">
        <w:rPr>
          <w:sz w:val="28"/>
          <w:szCs w:val="28"/>
        </w:rPr>
        <w:t>корылмалар</w:t>
      </w:r>
      <w:proofErr w:type="spellEnd"/>
      <w:r w:rsidRPr="004528BD">
        <w:rPr>
          <w:sz w:val="28"/>
          <w:szCs w:val="28"/>
        </w:rPr>
        <w:t xml:space="preserve">), адресы </w:t>
      </w:r>
      <w:proofErr w:type="spellStart"/>
      <w:r w:rsidRPr="004528BD">
        <w:rPr>
          <w:sz w:val="28"/>
          <w:szCs w:val="28"/>
        </w:rPr>
        <w:t>реквизитлары</w:t>
      </w:r>
      <w:proofErr w:type="spellEnd"/>
      <w:r w:rsidRPr="004528BD">
        <w:rPr>
          <w:sz w:val="28"/>
          <w:szCs w:val="28"/>
        </w:rPr>
        <w:t xml:space="preserve"> </w:t>
      </w:r>
      <w:proofErr w:type="spellStart"/>
      <w:r w:rsidRPr="004528BD">
        <w:rPr>
          <w:sz w:val="28"/>
          <w:szCs w:val="28"/>
        </w:rPr>
        <w:t>буларак</w:t>
      </w:r>
      <w:proofErr w:type="spellEnd"/>
      <w:r w:rsidRPr="004528BD">
        <w:rPr>
          <w:sz w:val="28"/>
          <w:szCs w:val="28"/>
        </w:rPr>
        <w:t xml:space="preserve"> </w:t>
      </w:r>
      <w:proofErr w:type="spellStart"/>
      <w:r w:rsidRPr="004528BD">
        <w:rPr>
          <w:sz w:val="28"/>
          <w:szCs w:val="28"/>
        </w:rPr>
        <w:t>файдаланыла</w:t>
      </w:r>
      <w:proofErr w:type="spellEnd"/>
      <w:r w:rsidRPr="004528BD">
        <w:rPr>
          <w:sz w:val="28"/>
          <w:szCs w:val="28"/>
        </w:rPr>
        <w:t xml:space="preserve"> </w:t>
      </w:r>
      <w:proofErr w:type="spellStart"/>
      <w:r w:rsidRPr="004528BD">
        <w:rPr>
          <w:sz w:val="28"/>
          <w:szCs w:val="28"/>
        </w:rPr>
        <w:t>торган</w:t>
      </w:r>
      <w:proofErr w:type="spellEnd"/>
      <w:r w:rsidRPr="004528BD">
        <w:rPr>
          <w:sz w:val="28"/>
          <w:szCs w:val="28"/>
        </w:rPr>
        <w:t xml:space="preserve"> </w:t>
      </w:r>
      <w:proofErr w:type="spellStart"/>
      <w:r w:rsidRPr="004528BD">
        <w:rPr>
          <w:sz w:val="28"/>
          <w:szCs w:val="28"/>
        </w:rPr>
        <w:t>биналарның</w:t>
      </w:r>
      <w:proofErr w:type="spellEnd"/>
      <w:r w:rsidRPr="004528BD">
        <w:rPr>
          <w:sz w:val="28"/>
          <w:szCs w:val="28"/>
        </w:rPr>
        <w:t xml:space="preserve"> (</w:t>
      </w:r>
      <w:proofErr w:type="spellStart"/>
      <w:r w:rsidRPr="004528BD">
        <w:rPr>
          <w:sz w:val="28"/>
          <w:szCs w:val="28"/>
        </w:rPr>
        <w:t>корылмалар</w:t>
      </w:r>
      <w:r>
        <w:rPr>
          <w:sz w:val="28"/>
          <w:szCs w:val="28"/>
        </w:rPr>
        <w:t>ның</w:t>
      </w:r>
      <w:proofErr w:type="spellEnd"/>
      <w:r>
        <w:rPr>
          <w:sz w:val="28"/>
          <w:szCs w:val="28"/>
        </w:rPr>
        <w:t>)</w:t>
      </w:r>
      <w:r w:rsidRPr="004528BD">
        <w:rPr>
          <w:sz w:val="28"/>
          <w:szCs w:val="28"/>
        </w:rPr>
        <w:t xml:space="preserve"> </w:t>
      </w:r>
      <w:proofErr w:type="spellStart"/>
      <w:r w:rsidRPr="004528BD">
        <w:rPr>
          <w:sz w:val="28"/>
          <w:szCs w:val="28"/>
        </w:rPr>
        <w:t>элементлары</w:t>
      </w:r>
      <w:proofErr w:type="spellEnd"/>
      <w:r w:rsidRPr="004528BD">
        <w:rPr>
          <w:sz w:val="28"/>
          <w:szCs w:val="28"/>
        </w:rPr>
        <w:t xml:space="preserve"> </w:t>
      </w:r>
      <w:proofErr w:type="spellStart"/>
      <w:r w:rsidRPr="004528BD">
        <w:rPr>
          <w:sz w:val="28"/>
          <w:szCs w:val="28"/>
        </w:rPr>
        <w:t>исе</w:t>
      </w:r>
      <w:r w:rsidRPr="004528BD">
        <w:rPr>
          <w:sz w:val="28"/>
          <w:szCs w:val="28"/>
        </w:rPr>
        <w:t>м</w:t>
      </w:r>
      <w:r w:rsidRPr="004528BD">
        <w:rPr>
          <w:sz w:val="28"/>
          <w:szCs w:val="28"/>
        </w:rPr>
        <w:t>леген</w:t>
      </w:r>
      <w:proofErr w:type="spellEnd"/>
      <w:r w:rsidRPr="004528BD"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һәм А</w:t>
      </w:r>
      <w:r w:rsidRPr="004528BD">
        <w:rPr>
          <w:sz w:val="28"/>
          <w:szCs w:val="28"/>
          <w:lang w:val="tt-RU"/>
        </w:rPr>
        <w:t xml:space="preserve">дрес барлыкка китерүче </w:t>
      </w:r>
      <w:r>
        <w:rPr>
          <w:sz w:val="28"/>
          <w:szCs w:val="28"/>
          <w:lang w:val="tt-RU"/>
        </w:rPr>
        <w:t xml:space="preserve">элементларның кыскартылган кагыйдәләрен </w:t>
      </w:r>
      <w:proofErr w:type="spellStart"/>
      <w:r w:rsidRPr="004528BD">
        <w:rPr>
          <w:sz w:val="28"/>
          <w:szCs w:val="28"/>
        </w:rPr>
        <w:t>раслау</w:t>
      </w:r>
      <w:proofErr w:type="spellEnd"/>
      <w:r w:rsidRPr="004528BD">
        <w:rPr>
          <w:sz w:val="28"/>
          <w:szCs w:val="28"/>
        </w:rPr>
        <w:t xml:space="preserve"> </w:t>
      </w:r>
      <w:proofErr w:type="spellStart"/>
      <w:r w:rsidRPr="004528BD">
        <w:rPr>
          <w:sz w:val="28"/>
          <w:szCs w:val="28"/>
        </w:rPr>
        <w:t>турын</w:t>
      </w:r>
      <w:r>
        <w:rPr>
          <w:sz w:val="28"/>
          <w:szCs w:val="28"/>
        </w:rPr>
        <w:t>да</w:t>
      </w:r>
      <w:proofErr w:type="spellEnd"/>
      <w:r>
        <w:rPr>
          <w:sz w:val="28"/>
          <w:szCs w:val="28"/>
        </w:rPr>
        <w:t xml:space="preserve">» </w:t>
      </w:r>
      <w:r w:rsidRPr="004528BD">
        <w:rPr>
          <w:sz w:val="28"/>
          <w:szCs w:val="28"/>
        </w:rPr>
        <w:t xml:space="preserve">2015 </w:t>
      </w:r>
      <w:proofErr w:type="spellStart"/>
      <w:r w:rsidRPr="004528BD">
        <w:rPr>
          <w:sz w:val="28"/>
          <w:szCs w:val="28"/>
        </w:rPr>
        <w:t>елның</w:t>
      </w:r>
      <w:proofErr w:type="spellEnd"/>
      <w:r w:rsidRPr="004528BD">
        <w:rPr>
          <w:sz w:val="28"/>
          <w:szCs w:val="28"/>
        </w:rPr>
        <w:t xml:space="preserve"> 5 </w:t>
      </w:r>
      <w:proofErr w:type="spellStart"/>
      <w:r w:rsidRPr="004528BD">
        <w:rPr>
          <w:sz w:val="28"/>
          <w:szCs w:val="28"/>
        </w:rPr>
        <w:t>ноябрендәге</w:t>
      </w:r>
      <w:proofErr w:type="spellEnd"/>
      <w:r w:rsidRPr="004528BD">
        <w:rPr>
          <w:sz w:val="28"/>
          <w:szCs w:val="28"/>
        </w:rPr>
        <w:t xml:space="preserve"> 171н </w:t>
      </w:r>
      <w:proofErr w:type="spellStart"/>
      <w:r w:rsidRPr="004528BD">
        <w:rPr>
          <w:sz w:val="28"/>
          <w:szCs w:val="28"/>
        </w:rPr>
        <w:t>номерлы</w:t>
      </w:r>
      <w:proofErr w:type="spellEnd"/>
      <w:r w:rsidRPr="004528BD">
        <w:rPr>
          <w:sz w:val="28"/>
          <w:szCs w:val="28"/>
        </w:rPr>
        <w:t xml:space="preserve"> </w:t>
      </w:r>
      <w:proofErr w:type="spellStart"/>
      <w:r w:rsidRPr="004528BD">
        <w:rPr>
          <w:sz w:val="28"/>
          <w:szCs w:val="28"/>
        </w:rPr>
        <w:t>боерыгына</w:t>
      </w:r>
      <w:proofErr w:type="spellEnd"/>
      <w:r w:rsidRPr="004528BD">
        <w:rPr>
          <w:sz w:val="28"/>
          <w:szCs w:val="28"/>
        </w:rPr>
        <w:t xml:space="preserve"> </w:t>
      </w:r>
      <w:proofErr w:type="spellStart"/>
      <w:r w:rsidRPr="004528BD">
        <w:rPr>
          <w:sz w:val="28"/>
          <w:szCs w:val="28"/>
        </w:rPr>
        <w:t>таянып</w:t>
      </w:r>
      <w:proofErr w:type="spellEnd"/>
      <w:r w:rsidRPr="004528B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йөкл</w:t>
      </w:r>
      <w:proofErr w:type="spellEnd"/>
      <w:r>
        <w:rPr>
          <w:sz w:val="28"/>
          <w:szCs w:val="28"/>
          <w:lang w:val="tt-RU"/>
        </w:rPr>
        <w:t>әмә бирәм</w:t>
      </w:r>
      <w:r w:rsidRPr="004528BD">
        <w:rPr>
          <w:sz w:val="28"/>
          <w:szCs w:val="28"/>
        </w:rPr>
        <w:t>:</w:t>
      </w:r>
    </w:p>
    <w:p w:rsidR="004528BD" w:rsidRPr="004528BD" w:rsidRDefault="004528BD" w:rsidP="00DA3CA2">
      <w:pPr>
        <w:tabs>
          <w:tab w:val="left" w:pos="4252"/>
        </w:tabs>
        <w:ind w:firstLine="708"/>
        <w:jc w:val="both"/>
        <w:rPr>
          <w:sz w:val="28"/>
          <w:szCs w:val="28"/>
          <w:lang w:val="tt-RU"/>
        </w:rPr>
      </w:pPr>
      <w:r w:rsidRPr="004528BD">
        <w:rPr>
          <w:sz w:val="28"/>
          <w:szCs w:val="28"/>
        </w:rPr>
        <w:t xml:space="preserve">1. Россия </w:t>
      </w:r>
      <w:proofErr w:type="spellStart"/>
      <w:r w:rsidRPr="004528BD">
        <w:rPr>
          <w:sz w:val="28"/>
          <w:szCs w:val="28"/>
        </w:rPr>
        <w:t>Федерациясе</w:t>
      </w:r>
      <w:proofErr w:type="spellEnd"/>
      <w:r w:rsidRPr="004528BD">
        <w:rPr>
          <w:sz w:val="28"/>
          <w:szCs w:val="28"/>
        </w:rPr>
        <w:t xml:space="preserve">, Татарстан </w:t>
      </w:r>
      <w:proofErr w:type="spellStart"/>
      <w:r w:rsidRPr="004528BD">
        <w:rPr>
          <w:sz w:val="28"/>
          <w:szCs w:val="28"/>
        </w:rPr>
        <w:t>Республикасы</w:t>
      </w:r>
      <w:proofErr w:type="spellEnd"/>
      <w:r w:rsidRPr="004528BD">
        <w:rPr>
          <w:sz w:val="28"/>
          <w:szCs w:val="28"/>
        </w:rPr>
        <w:t xml:space="preserve">, </w:t>
      </w:r>
      <w:proofErr w:type="spellStart"/>
      <w:r w:rsidRPr="004528BD">
        <w:rPr>
          <w:sz w:val="28"/>
          <w:szCs w:val="28"/>
        </w:rPr>
        <w:t>Түбән</w:t>
      </w:r>
      <w:proofErr w:type="spellEnd"/>
      <w:r w:rsidRPr="004528BD">
        <w:rPr>
          <w:sz w:val="28"/>
          <w:szCs w:val="28"/>
        </w:rPr>
        <w:t xml:space="preserve"> Кама </w:t>
      </w:r>
      <w:proofErr w:type="spellStart"/>
      <w:r w:rsidRPr="004528BD">
        <w:rPr>
          <w:sz w:val="28"/>
          <w:szCs w:val="28"/>
        </w:rPr>
        <w:t>муниципаль</w:t>
      </w:r>
      <w:proofErr w:type="spellEnd"/>
      <w:r w:rsidRPr="004528BD">
        <w:rPr>
          <w:sz w:val="28"/>
          <w:szCs w:val="28"/>
        </w:rPr>
        <w:t xml:space="preserve"> районы, </w:t>
      </w:r>
      <w:proofErr w:type="spellStart"/>
      <w:r w:rsidRPr="004528BD">
        <w:rPr>
          <w:sz w:val="28"/>
          <w:szCs w:val="28"/>
        </w:rPr>
        <w:t>Түбән</w:t>
      </w:r>
      <w:proofErr w:type="spellEnd"/>
      <w:r w:rsidRPr="004528BD">
        <w:rPr>
          <w:sz w:val="28"/>
          <w:szCs w:val="28"/>
        </w:rPr>
        <w:t xml:space="preserve"> Кама </w:t>
      </w:r>
      <w:proofErr w:type="spellStart"/>
      <w:r w:rsidRPr="004528BD">
        <w:rPr>
          <w:sz w:val="28"/>
          <w:szCs w:val="28"/>
        </w:rPr>
        <w:t>шәһә</w:t>
      </w:r>
      <w:proofErr w:type="gramStart"/>
      <w:r w:rsidRPr="004528BD">
        <w:rPr>
          <w:sz w:val="28"/>
          <w:szCs w:val="28"/>
        </w:rPr>
        <w:t>р</w:t>
      </w:r>
      <w:proofErr w:type="spellEnd"/>
      <w:proofErr w:type="gramEnd"/>
      <w:r w:rsidRPr="004528BD">
        <w:rPr>
          <w:sz w:val="28"/>
          <w:szCs w:val="28"/>
        </w:rPr>
        <w:t xml:space="preserve"> </w:t>
      </w:r>
      <w:proofErr w:type="spellStart"/>
      <w:r w:rsidRPr="004528BD">
        <w:rPr>
          <w:sz w:val="28"/>
          <w:szCs w:val="28"/>
        </w:rPr>
        <w:t>җирлеге</w:t>
      </w:r>
      <w:proofErr w:type="spellEnd"/>
      <w:r w:rsidRPr="004528BD">
        <w:rPr>
          <w:sz w:val="28"/>
          <w:szCs w:val="28"/>
        </w:rPr>
        <w:t xml:space="preserve">, </w:t>
      </w:r>
      <w:proofErr w:type="spellStart"/>
      <w:r w:rsidRPr="004528BD">
        <w:rPr>
          <w:sz w:val="28"/>
          <w:szCs w:val="28"/>
        </w:rPr>
        <w:t>Түбән</w:t>
      </w:r>
      <w:proofErr w:type="spellEnd"/>
      <w:r w:rsidRPr="004528BD">
        <w:rPr>
          <w:sz w:val="28"/>
          <w:szCs w:val="28"/>
        </w:rPr>
        <w:t xml:space="preserve"> Кама </w:t>
      </w:r>
      <w:proofErr w:type="spellStart"/>
      <w:r w:rsidRPr="004528BD">
        <w:rPr>
          <w:sz w:val="28"/>
          <w:szCs w:val="28"/>
        </w:rPr>
        <w:t>шәһәре</w:t>
      </w:r>
      <w:proofErr w:type="spellEnd"/>
      <w:r w:rsidRPr="004528BD">
        <w:rPr>
          <w:sz w:val="28"/>
          <w:szCs w:val="28"/>
        </w:rPr>
        <w:t xml:space="preserve">, Завод </w:t>
      </w:r>
      <w:proofErr w:type="spellStart"/>
      <w:r w:rsidRPr="004528BD">
        <w:rPr>
          <w:sz w:val="28"/>
          <w:szCs w:val="28"/>
        </w:rPr>
        <w:t>идарәсе</w:t>
      </w:r>
      <w:proofErr w:type="spellEnd"/>
      <w:r w:rsidRPr="004528BD">
        <w:rPr>
          <w:sz w:val="28"/>
          <w:szCs w:val="28"/>
        </w:rPr>
        <w:t xml:space="preserve"> </w:t>
      </w:r>
      <w:proofErr w:type="spellStart"/>
      <w:r w:rsidRPr="004528BD">
        <w:rPr>
          <w:sz w:val="28"/>
          <w:szCs w:val="28"/>
        </w:rPr>
        <w:t>тукт</w:t>
      </w:r>
      <w:r w:rsidRPr="004528BD">
        <w:rPr>
          <w:sz w:val="28"/>
          <w:szCs w:val="28"/>
        </w:rPr>
        <w:t>а</w:t>
      </w:r>
      <w:r w:rsidRPr="004528BD">
        <w:rPr>
          <w:sz w:val="28"/>
          <w:szCs w:val="28"/>
        </w:rPr>
        <w:t>лышы</w:t>
      </w:r>
      <w:proofErr w:type="spellEnd"/>
      <w:r>
        <w:rPr>
          <w:sz w:val="28"/>
          <w:szCs w:val="28"/>
          <w:lang w:val="tt-RU"/>
        </w:rPr>
        <w:t>н</w:t>
      </w:r>
      <w:r w:rsidRPr="004528BD">
        <w:rPr>
          <w:sz w:val="28"/>
          <w:szCs w:val="28"/>
        </w:rPr>
        <w:t xml:space="preserve"> («Нижнекамскнефтехим»</w:t>
      </w:r>
      <w:r>
        <w:rPr>
          <w:sz w:val="28"/>
          <w:szCs w:val="28"/>
          <w:lang w:val="tt-RU"/>
        </w:rPr>
        <w:t xml:space="preserve"> </w:t>
      </w:r>
      <w:r w:rsidRPr="004528BD">
        <w:rPr>
          <w:sz w:val="28"/>
          <w:szCs w:val="28"/>
        </w:rPr>
        <w:t xml:space="preserve">ГАҖ </w:t>
      </w:r>
      <w:proofErr w:type="spellStart"/>
      <w:r w:rsidRPr="004528BD">
        <w:rPr>
          <w:sz w:val="28"/>
          <w:szCs w:val="28"/>
        </w:rPr>
        <w:t>административ</w:t>
      </w:r>
      <w:proofErr w:type="spellEnd"/>
      <w:r w:rsidRPr="004528BD">
        <w:rPr>
          <w:sz w:val="28"/>
          <w:szCs w:val="28"/>
        </w:rPr>
        <w:t xml:space="preserve"> </w:t>
      </w:r>
      <w:proofErr w:type="spellStart"/>
      <w:r w:rsidRPr="004528BD">
        <w:rPr>
          <w:sz w:val="28"/>
          <w:szCs w:val="28"/>
        </w:rPr>
        <w:t>бинасы</w:t>
      </w:r>
      <w:proofErr w:type="spellEnd"/>
      <w:r w:rsidRPr="004528BD">
        <w:rPr>
          <w:sz w:val="28"/>
          <w:szCs w:val="28"/>
        </w:rPr>
        <w:t xml:space="preserve"> </w:t>
      </w:r>
      <w:proofErr w:type="spellStart"/>
      <w:r w:rsidRPr="004528BD">
        <w:rPr>
          <w:sz w:val="28"/>
          <w:szCs w:val="28"/>
        </w:rPr>
        <w:t>ягыннан</w:t>
      </w:r>
      <w:proofErr w:type="spellEnd"/>
      <w:r w:rsidRPr="004528BD">
        <w:rPr>
          <w:sz w:val="28"/>
          <w:szCs w:val="28"/>
        </w:rPr>
        <w:t>), «</w:t>
      </w:r>
      <w:proofErr w:type="spellStart"/>
      <w:r w:rsidRPr="004528BD">
        <w:rPr>
          <w:sz w:val="28"/>
          <w:szCs w:val="28"/>
        </w:rPr>
        <w:t>Түбән</w:t>
      </w:r>
      <w:proofErr w:type="spellEnd"/>
      <w:r w:rsidRPr="004528BD">
        <w:rPr>
          <w:sz w:val="28"/>
          <w:szCs w:val="28"/>
        </w:rPr>
        <w:t xml:space="preserve"> Ка</w:t>
      </w:r>
      <w:r>
        <w:rPr>
          <w:sz w:val="28"/>
          <w:szCs w:val="28"/>
        </w:rPr>
        <w:t xml:space="preserve">ма </w:t>
      </w:r>
      <w:r>
        <w:rPr>
          <w:sz w:val="28"/>
          <w:szCs w:val="28"/>
          <w:lang w:val="tt-RU"/>
        </w:rPr>
        <w:t>Нефтехим</w:t>
      </w:r>
      <w:r w:rsidRPr="004528BD">
        <w:rPr>
          <w:sz w:val="28"/>
          <w:szCs w:val="28"/>
        </w:rPr>
        <w:t>»</w:t>
      </w:r>
      <w:r>
        <w:rPr>
          <w:sz w:val="28"/>
          <w:szCs w:val="28"/>
          <w:lang w:val="tt-RU"/>
        </w:rPr>
        <w:t xml:space="preserve"> дип атарга.</w:t>
      </w:r>
    </w:p>
    <w:p w:rsidR="00AB185D" w:rsidRDefault="004528BD" w:rsidP="00DA3CA2">
      <w:pPr>
        <w:tabs>
          <w:tab w:val="left" w:pos="4252"/>
        </w:tabs>
        <w:ind w:firstLine="708"/>
        <w:jc w:val="both"/>
        <w:rPr>
          <w:sz w:val="28"/>
          <w:szCs w:val="28"/>
          <w:lang w:val="tt-RU"/>
        </w:rPr>
      </w:pPr>
      <w:r w:rsidRPr="004528BD">
        <w:rPr>
          <w:sz w:val="28"/>
          <w:szCs w:val="28"/>
          <w:lang w:val="tt-RU"/>
        </w:rPr>
        <w:t>2. Т</w:t>
      </w:r>
      <w:r w:rsidR="0026783C">
        <w:rPr>
          <w:sz w:val="28"/>
          <w:szCs w:val="28"/>
          <w:lang w:val="tt-RU"/>
        </w:rPr>
        <w:t>үбән Кама муниципаль районының Җ</w:t>
      </w:r>
      <w:r w:rsidRPr="004528BD">
        <w:rPr>
          <w:sz w:val="28"/>
          <w:szCs w:val="28"/>
          <w:lang w:val="tt-RU"/>
        </w:rPr>
        <w:t>ир һәм мөлкәт мөнәсәбәтләре</w:t>
      </w:r>
      <w:r w:rsidR="0026783C">
        <w:rPr>
          <w:sz w:val="28"/>
          <w:szCs w:val="28"/>
          <w:lang w:val="tt-RU"/>
        </w:rPr>
        <w:t xml:space="preserve"> идарәсе, Т</w:t>
      </w:r>
      <w:r w:rsidRPr="004528BD">
        <w:rPr>
          <w:sz w:val="28"/>
          <w:szCs w:val="28"/>
          <w:lang w:val="tt-RU"/>
        </w:rPr>
        <w:t xml:space="preserve">өзелеш, архитектура </w:t>
      </w:r>
      <w:r>
        <w:rPr>
          <w:sz w:val="28"/>
          <w:szCs w:val="28"/>
          <w:lang w:val="tt-RU"/>
        </w:rPr>
        <w:t>и</w:t>
      </w:r>
      <w:r w:rsidRPr="004528BD">
        <w:rPr>
          <w:sz w:val="28"/>
          <w:szCs w:val="28"/>
          <w:lang w:val="tt-RU"/>
        </w:rPr>
        <w:t>дарәсе, Түбән Кама муниципаль районы Башкарма комитетының җәмәгать транспорты һәм транспорт бүлеге муниципаль мәгълүмат базаларын алып бару, муниципаль хокукый актлар, башка документлар әзерләүдә әлеге күрсәтмәне исәпкә алырга тиеш.</w:t>
      </w:r>
    </w:p>
    <w:p w:rsidR="004528BD" w:rsidRPr="004528BD" w:rsidRDefault="004528BD" w:rsidP="00DA3CA2">
      <w:pPr>
        <w:tabs>
          <w:tab w:val="left" w:pos="4252"/>
        </w:tabs>
        <w:ind w:firstLine="708"/>
        <w:jc w:val="both"/>
        <w:rPr>
          <w:sz w:val="28"/>
          <w:szCs w:val="28"/>
          <w:lang w:val="tt-RU"/>
        </w:rPr>
      </w:pPr>
      <w:r w:rsidRPr="004528BD">
        <w:rPr>
          <w:sz w:val="28"/>
          <w:szCs w:val="28"/>
          <w:lang w:val="tt-RU"/>
        </w:rPr>
        <w:t>3. «Нижнекамскнефтехим» ГАҖ әлеге күрсәтмәне бастырганнан соң бер айдан да соңга калмыйча, әлеге күрсәтмәнең 1</w:t>
      </w:r>
      <w:r>
        <w:rPr>
          <w:sz w:val="28"/>
          <w:szCs w:val="28"/>
          <w:lang w:val="tt-RU"/>
        </w:rPr>
        <w:t>нче</w:t>
      </w:r>
      <w:r w:rsidRPr="004528BD">
        <w:rPr>
          <w:sz w:val="28"/>
          <w:szCs w:val="28"/>
          <w:lang w:val="tt-RU"/>
        </w:rPr>
        <w:t xml:space="preserve"> пунктында күрсәтелгән исем нигезендә тукталыш павильонында күрсәткечләр урнаштыруны тәэмин итәргә тиеш.</w:t>
      </w:r>
    </w:p>
    <w:p w:rsidR="004528BD" w:rsidRPr="004528BD" w:rsidRDefault="004528BD" w:rsidP="00DA3CA2">
      <w:pPr>
        <w:tabs>
          <w:tab w:val="left" w:pos="4252"/>
        </w:tabs>
        <w:ind w:firstLine="708"/>
        <w:jc w:val="both"/>
        <w:rPr>
          <w:sz w:val="28"/>
          <w:szCs w:val="28"/>
          <w:lang w:val="tt-RU"/>
        </w:rPr>
      </w:pPr>
      <w:r w:rsidRPr="004528BD">
        <w:rPr>
          <w:sz w:val="28"/>
          <w:szCs w:val="28"/>
          <w:lang w:val="tt-RU"/>
        </w:rPr>
        <w:t>4. Татарстан Республикасы Түбән Кама муниципаль районы Советының җәмәгатьчелек һәм ММЧ белән элемтә бүлеге әлеге күрсәтмәне массакүләм мәгълүмат чараларында һәм Түбән Кама муниципаль районының рәсми сайтында бастырып чыгаруны тәэмин итәргә тиеш.</w:t>
      </w:r>
    </w:p>
    <w:p w:rsidR="004528BD" w:rsidRDefault="004528BD" w:rsidP="00DA3CA2">
      <w:pPr>
        <w:tabs>
          <w:tab w:val="left" w:pos="4252"/>
        </w:tabs>
        <w:ind w:firstLine="708"/>
        <w:jc w:val="both"/>
        <w:rPr>
          <w:sz w:val="28"/>
          <w:szCs w:val="28"/>
          <w:lang w:val="tt-RU"/>
        </w:rPr>
      </w:pPr>
      <w:r w:rsidRPr="004528BD">
        <w:rPr>
          <w:sz w:val="28"/>
          <w:szCs w:val="28"/>
          <w:lang w:val="tt-RU"/>
        </w:rPr>
        <w:t>5. Әлеге күрсәт</w:t>
      </w:r>
      <w:r w:rsidR="0026783C">
        <w:rPr>
          <w:sz w:val="28"/>
          <w:szCs w:val="28"/>
          <w:lang w:val="tt-RU"/>
        </w:rPr>
        <w:t xml:space="preserve">мәнең үтәлешен контрольдә тотуны үз өстемә алам. </w:t>
      </w:r>
    </w:p>
    <w:p w:rsidR="004528BD" w:rsidRDefault="004528BD" w:rsidP="00381A15">
      <w:pPr>
        <w:tabs>
          <w:tab w:val="left" w:pos="4252"/>
        </w:tabs>
        <w:ind w:firstLine="708"/>
        <w:jc w:val="both"/>
        <w:rPr>
          <w:sz w:val="28"/>
          <w:szCs w:val="28"/>
          <w:lang w:val="tt-RU"/>
        </w:rPr>
      </w:pPr>
    </w:p>
    <w:p w:rsidR="004528BD" w:rsidRDefault="004528BD" w:rsidP="00381A15">
      <w:pPr>
        <w:tabs>
          <w:tab w:val="left" w:pos="4252"/>
        </w:tabs>
        <w:ind w:firstLine="708"/>
        <w:jc w:val="both"/>
        <w:rPr>
          <w:sz w:val="28"/>
          <w:szCs w:val="28"/>
          <w:lang w:val="tt-RU"/>
        </w:rPr>
      </w:pPr>
    </w:p>
    <w:p w:rsidR="00E177D1" w:rsidRPr="00AB185D" w:rsidRDefault="0026783C" w:rsidP="00AB185D">
      <w:pPr>
        <w:jc w:val="both"/>
        <w:rPr>
          <w:sz w:val="28"/>
          <w:szCs w:val="28"/>
        </w:rPr>
      </w:pPr>
      <w:r>
        <w:rPr>
          <w:sz w:val="28"/>
          <w:szCs w:val="28"/>
          <w:lang w:val="tt-RU"/>
        </w:rPr>
        <w:t>Җитәкче</w:t>
      </w:r>
      <w:r w:rsidR="00AB185D">
        <w:rPr>
          <w:sz w:val="28"/>
          <w:szCs w:val="28"/>
        </w:rPr>
        <w:t xml:space="preserve">                                                          </w:t>
      </w:r>
      <w:r>
        <w:rPr>
          <w:sz w:val="28"/>
          <w:szCs w:val="28"/>
        </w:rPr>
        <w:t xml:space="preserve">                        </w:t>
      </w:r>
      <w:r w:rsidR="00AB185D">
        <w:rPr>
          <w:sz w:val="28"/>
          <w:szCs w:val="28"/>
        </w:rPr>
        <w:t xml:space="preserve">     </w:t>
      </w:r>
      <w:r w:rsidR="00E177D1" w:rsidRPr="00AB185D">
        <w:rPr>
          <w:sz w:val="28"/>
          <w:szCs w:val="28"/>
        </w:rPr>
        <w:t xml:space="preserve"> </w:t>
      </w:r>
      <w:r w:rsidR="00DA3CA2">
        <w:rPr>
          <w:sz w:val="28"/>
          <w:szCs w:val="28"/>
        </w:rPr>
        <w:t xml:space="preserve">  </w:t>
      </w:r>
      <w:r w:rsidR="00381A15">
        <w:rPr>
          <w:sz w:val="28"/>
          <w:szCs w:val="28"/>
        </w:rPr>
        <w:t xml:space="preserve">       </w:t>
      </w:r>
      <w:r w:rsidR="00D365B3" w:rsidRPr="00AB185D">
        <w:rPr>
          <w:sz w:val="28"/>
          <w:szCs w:val="28"/>
        </w:rPr>
        <w:t xml:space="preserve">А.Р. </w:t>
      </w:r>
      <w:proofErr w:type="spellStart"/>
      <w:r w:rsidR="00D365B3" w:rsidRPr="00AB185D">
        <w:rPr>
          <w:sz w:val="28"/>
          <w:szCs w:val="28"/>
        </w:rPr>
        <w:t>Салаватов</w:t>
      </w:r>
      <w:proofErr w:type="spellEnd"/>
    </w:p>
    <w:p w:rsidR="001E4978" w:rsidRPr="00AB185D" w:rsidRDefault="001E4978">
      <w:pPr>
        <w:rPr>
          <w:sz w:val="28"/>
          <w:szCs w:val="28"/>
        </w:rPr>
      </w:pPr>
    </w:p>
    <w:sectPr w:rsidR="001E4978" w:rsidRPr="00AB185D" w:rsidSect="00DA3CA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D93"/>
    <w:rsid w:val="0005573F"/>
    <w:rsid w:val="001E4978"/>
    <w:rsid w:val="001F0F81"/>
    <w:rsid w:val="0026783C"/>
    <w:rsid w:val="00381A15"/>
    <w:rsid w:val="003F7E38"/>
    <w:rsid w:val="004528BD"/>
    <w:rsid w:val="00505288"/>
    <w:rsid w:val="0074697A"/>
    <w:rsid w:val="007A60EF"/>
    <w:rsid w:val="00800D93"/>
    <w:rsid w:val="00A02228"/>
    <w:rsid w:val="00A378C6"/>
    <w:rsid w:val="00A84294"/>
    <w:rsid w:val="00AB0E8D"/>
    <w:rsid w:val="00AB185D"/>
    <w:rsid w:val="00D365B3"/>
    <w:rsid w:val="00DA3CA2"/>
    <w:rsid w:val="00DC73D0"/>
    <w:rsid w:val="00E177D1"/>
    <w:rsid w:val="00E93B1B"/>
    <w:rsid w:val="00F76480"/>
    <w:rsid w:val="00FC7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7D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177D1"/>
    <w:pPr>
      <w:keepNext/>
      <w:jc w:val="center"/>
      <w:outlineLvl w:val="2"/>
    </w:pPr>
    <w:rPr>
      <w:sz w:val="27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177D1"/>
    <w:rPr>
      <w:rFonts w:ascii="Times New Roman" w:eastAsia="Times New Roman" w:hAnsi="Times New Roman" w:cs="Times New Roman"/>
      <w:color w:val="000000"/>
      <w:sz w:val="27"/>
      <w:szCs w:val="20"/>
      <w:lang w:val="x-none" w:eastAsia="x-none"/>
    </w:rPr>
  </w:style>
  <w:style w:type="paragraph" w:styleId="a3">
    <w:name w:val="Body Text"/>
    <w:basedOn w:val="a"/>
    <w:link w:val="a4"/>
    <w:semiHidden/>
    <w:unhideWhenUsed/>
    <w:rsid w:val="00E177D1"/>
    <w:pPr>
      <w:jc w:val="both"/>
    </w:pPr>
    <w:rPr>
      <w:sz w:val="27"/>
    </w:rPr>
  </w:style>
  <w:style w:type="character" w:customStyle="1" w:styleId="a4">
    <w:name w:val="Основной текст Знак"/>
    <w:basedOn w:val="a0"/>
    <w:link w:val="a3"/>
    <w:semiHidden/>
    <w:rsid w:val="00E177D1"/>
    <w:rPr>
      <w:rFonts w:ascii="Times New Roman" w:eastAsia="Times New Roman" w:hAnsi="Times New Roman" w:cs="Times New Roman"/>
      <w:color w:val="000000"/>
      <w:sz w:val="27"/>
      <w:szCs w:val="24"/>
      <w:lang w:eastAsia="ru-RU"/>
    </w:rPr>
  </w:style>
  <w:style w:type="paragraph" w:styleId="a5">
    <w:name w:val="List Paragraph"/>
    <w:basedOn w:val="a"/>
    <w:uiPriority w:val="34"/>
    <w:qFormat/>
    <w:rsid w:val="001F0F8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A3CA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A3CA2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7D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177D1"/>
    <w:pPr>
      <w:keepNext/>
      <w:jc w:val="center"/>
      <w:outlineLvl w:val="2"/>
    </w:pPr>
    <w:rPr>
      <w:sz w:val="27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177D1"/>
    <w:rPr>
      <w:rFonts w:ascii="Times New Roman" w:eastAsia="Times New Roman" w:hAnsi="Times New Roman" w:cs="Times New Roman"/>
      <w:color w:val="000000"/>
      <w:sz w:val="27"/>
      <w:szCs w:val="20"/>
      <w:lang w:val="x-none" w:eastAsia="x-none"/>
    </w:rPr>
  </w:style>
  <w:style w:type="paragraph" w:styleId="a3">
    <w:name w:val="Body Text"/>
    <w:basedOn w:val="a"/>
    <w:link w:val="a4"/>
    <w:semiHidden/>
    <w:unhideWhenUsed/>
    <w:rsid w:val="00E177D1"/>
    <w:pPr>
      <w:jc w:val="both"/>
    </w:pPr>
    <w:rPr>
      <w:sz w:val="27"/>
    </w:rPr>
  </w:style>
  <w:style w:type="character" w:customStyle="1" w:styleId="a4">
    <w:name w:val="Основной текст Знак"/>
    <w:basedOn w:val="a0"/>
    <w:link w:val="a3"/>
    <w:semiHidden/>
    <w:rsid w:val="00E177D1"/>
    <w:rPr>
      <w:rFonts w:ascii="Times New Roman" w:eastAsia="Times New Roman" w:hAnsi="Times New Roman" w:cs="Times New Roman"/>
      <w:color w:val="000000"/>
      <w:sz w:val="27"/>
      <w:szCs w:val="24"/>
      <w:lang w:eastAsia="ru-RU"/>
    </w:rPr>
  </w:style>
  <w:style w:type="paragraph" w:styleId="a5">
    <w:name w:val="List Paragraph"/>
    <w:basedOn w:val="a"/>
    <w:uiPriority w:val="34"/>
    <w:qFormat/>
    <w:rsid w:val="001F0F8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A3CA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A3CA2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4</cp:revision>
  <cp:lastPrinted>2020-09-09T14:14:00Z</cp:lastPrinted>
  <dcterms:created xsi:type="dcterms:W3CDTF">2020-09-09T14:15:00Z</dcterms:created>
  <dcterms:modified xsi:type="dcterms:W3CDTF">2020-09-11T13:40:00Z</dcterms:modified>
</cp:coreProperties>
</file>